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4F599" w14:textId="77777777" w:rsidR="00D61D35" w:rsidRPr="00B212A3" w:rsidRDefault="00FF4422" w:rsidP="00D61D35">
      <w:pPr>
        <w:pStyle w:val="HeadingEULA"/>
        <w:rPr>
          <w:sz w:val="19"/>
          <w:szCs w:val="19"/>
        </w:rPr>
      </w:pPr>
      <w:r>
        <w:rPr>
          <w:rFonts w:eastAsia="Tahoma"/>
          <w:sz w:val="19"/>
          <w:szCs w:val="19"/>
          <w:lang w:val="cs-CZ"/>
        </w:rPr>
        <w:t>LICENČNÍ PODMÍNKY PRO PŘEDBĚŽNOU VERZI SOFTWARU</w:t>
      </w:r>
    </w:p>
    <w:p w14:paraId="4CC4F59A" w14:textId="77777777" w:rsidR="00D61D35" w:rsidRPr="00B212A3" w:rsidRDefault="00FF4422" w:rsidP="00D61D35">
      <w:pPr>
        <w:pStyle w:val="HeadingSoftwareTitle"/>
        <w:rPr>
          <w:sz w:val="19"/>
          <w:szCs w:val="19"/>
        </w:rPr>
      </w:pPr>
      <w:r>
        <w:rPr>
          <w:rFonts w:eastAsia="Tahoma"/>
          <w:sz w:val="19"/>
          <w:szCs w:val="19"/>
          <w:lang w:val="cs-CZ"/>
        </w:rPr>
        <w:t xml:space="preserve">MICROSOFT VISUAL STUDIO COMMUNITY 2019 </w:t>
      </w:r>
    </w:p>
    <w:p w14:paraId="4CC4F59B" w14:textId="77777777" w:rsidR="00D61D35" w:rsidRPr="007869AA" w:rsidRDefault="00FF4422" w:rsidP="00D61D35">
      <w:r>
        <w:rPr>
          <w:rFonts w:eastAsia="Tahoma"/>
          <w:lang w:val="cs-CZ"/>
        </w:rPr>
        <w:t>Tyto licenční podmínky představují smlouvu mezi vámi a společností Microsoft Corporation (nebo některou z jejích afilací v závislosti na tom, kde bydlíte). Vztahují se na výše uvedený software. Podmínky se rovněž vztahují na jakékoli služby Microsoft nebo aktualizace pro software, pokud se na služby nebo aktualizace nevztahují odlišné podmínky.</w:t>
      </w:r>
    </w:p>
    <w:p w14:paraId="4CC4F59C" w14:textId="77777777" w:rsidR="00D61D35" w:rsidRPr="007869AA" w:rsidRDefault="00FF4422" w:rsidP="00D61D35">
      <w:pPr>
        <w:pStyle w:val="PreambleBorderAbove"/>
      </w:pPr>
      <w:r>
        <w:rPr>
          <w:rFonts w:eastAsia="Tahoma"/>
          <w:lang w:val="cs-CZ"/>
        </w:rPr>
        <w:t>DODRŽÍTE-LI TYTO LICENČNÍ PODMÍNKY, MÁTE NÁSLEDUJÍCÍ PRÁVA.</w:t>
      </w:r>
    </w:p>
    <w:p w14:paraId="4CC4F59D" w14:textId="77777777" w:rsidR="00D61D35" w:rsidRPr="007869AA" w:rsidRDefault="00FF4422" w:rsidP="00D61D35">
      <w:pPr>
        <w:pStyle w:val="Heading1"/>
        <w:ind w:left="360" w:hanging="360"/>
      </w:pPr>
      <w:r>
        <w:rPr>
          <w:rFonts w:eastAsia="Tahoma"/>
          <w:lang w:val="cs-CZ"/>
        </w:rPr>
        <w:t>PRÁVA K INSTALACI A UŽÍVÁNÍ.</w:t>
      </w:r>
    </w:p>
    <w:p w14:paraId="4CC4F59E" w14:textId="77777777" w:rsidR="00D61D35" w:rsidRPr="007869AA" w:rsidRDefault="00FF4422" w:rsidP="000B3668">
      <w:pPr>
        <w:pStyle w:val="Heading2"/>
        <w:numPr>
          <w:ilvl w:val="1"/>
          <w:numId w:val="8"/>
        </w:numPr>
        <w:ind w:left="720" w:hanging="360"/>
      </w:pPr>
      <w:r>
        <w:rPr>
          <w:rFonts w:eastAsia="Tahoma"/>
          <w:lang w:val="cs-CZ"/>
        </w:rPr>
        <w:t xml:space="preserve">Licence pro jednotlivce. </w:t>
      </w:r>
      <w:r>
        <w:rPr>
          <w:rFonts w:eastAsia="Tahoma"/>
          <w:b w:val="0"/>
          <w:bCs w:val="0"/>
          <w:lang w:val="cs-CZ"/>
        </w:rPr>
        <w:t>Pokud jste jednotlivec pracující na svých vlastních aplikacích k prodeji nebo k jinému účelu, smíte software používat k rozvoji a testování těchto aplikací.</w:t>
      </w:r>
    </w:p>
    <w:p w14:paraId="4CC4F59F" w14:textId="77777777" w:rsidR="00D61D35" w:rsidRPr="007869AA" w:rsidRDefault="00FF4422" w:rsidP="000B3668">
      <w:pPr>
        <w:pStyle w:val="Heading2"/>
        <w:numPr>
          <w:ilvl w:val="1"/>
          <w:numId w:val="8"/>
        </w:numPr>
        <w:ind w:left="720" w:hanging="360"/>
      </w:pPr>
      <w:r>
        <w:rPr>
          <w:rFonts w:eastAsia="Tahoma"/>
          <w:lang w:val="cs-CZ"/>
        </w:rPr>
        <w:t xml:space="preserve">Licence pro organizace. </w:t>
      </w:r>
      <w:r>
        <w:rPr>
          <w:rFonts w:eastAsia="Tahoma"/>
          <w:b w:val="0"/>
          <w:bCs w:val="0"/>
          <w:lang w:val="cs-CZ"/>
        </w:rPr>
        <w:t>Pokud jste organizace, mohou vaši uživatelé software používat následovně:</w:t>
      </w:r>
    </w:p>
    <w:p w14:paraId="4CC4F5A0" w14:textId="77777777" w:rsidR="00D61D35" w:rsidRDefault="00FF4422" w:rsidP="000B3668">
      <w:pPr>
        <w:pStyle w:val="ListParagraph"/>
        <w:numPr>
          <w:ilvl w:val="0"/>
          <w:numId w:val="9"/>
        </w:numPr>
        <w:spacing w:before="0" w:after="0"/>
        <w:ind w:left="1080"/>
      </w:pPr>
      <w:r>
        <w:rPr>
          <w:rFonts w:eastAsia="Tahoma"/>
          <w:lang w:val="cs-CZ"/>
        </w:rPr>
        <w:t>Libovolný počet vašich uživatelů smí software užívat k vývoji a testování aplikací vydávaných na základě licencí k softwaru Open Source v rámci iniciativy Open Source Initiative (OSI).</w:t>
      </w:r>
    </w:p>
    <w:p w14:paraId="4CC4F5A1" w14:textId="77777777" w:rsidR="0094679A" w:rsidRDefault="00FF4422" w:rsidP="000B3668">
      <w:pPr>
        <w:pStyle w:val="ListParagraph"/>
        <w:numPr>
          <w:ilvl w:val="0"/>
          <w:numId w:val="9"/>
        </w:numPr>
        <w:spacing w:before="0" w:after="0"/>
        <w:ind w:left="1080"/>
      </w:pPr>
      <w:r>
        <w:rPr>
          <w:rFonts w:eastAsia="Tahoma"/>
          <w:lang w:val="cs-CZ"/>
        </w:rPr>
        <w:t xml:space="preserve">Libovolný počet vašich uživatelů smí používat software k vývoji a testování rozšíření softwaru Visual Studio. </w:t>
      </w:r>
    </w:p>
    <w:p w14:paraId="4CC4F5A2" w14:textId="77777777" w:rsidR="00F76785" w:rsidRPr="007869AA" w:rsidRDefault="00FF4422" w:rsidP="000B3668">
      <w:pPr>
        <w:pStyle w:val="ListParagraph"/>
        <w:numPr>
          <w:ilvl w:val="0"/>
          <w:numId w:val="9"/>
        </w:numPr>
        <w:spacing w:before="0" w:after="0"/>
        <w:ind w:left="1080"/>
      </w:pPr>
      <w:r>
        <w:rPr>
          <w:rFonts w:eastAsia="Tahoma"/>
          <w:lang w:val="cs-CZ"/>
        </w:rPr>
        <w:t>Libovolný počet vašich uživatelů smí software užívat k vývoji a testování ovladačů zařízení pro operační systém Windows.</w:t>
      </w:r>
    </w:p>
    <w:p w14:paraId="4CC4F5A3" w14:textId="77777777" w:rsidR="00D61D35" w:rsidRPr="007869AA" w:rsidRDefault="00FF4422" w:rsidP="000B3668">
      <w:pPr>
        <w:pStyle w:val="ListParagraph"/>
        <w:numPr>
          <w:ilvl w:val="0"/>
          <w:numId w:val="9"/>
        </w:numPr>
        <w:spacing w:before="0" w:after="0"/>
        <w:ind w:left="1080"/>
      </w:pPr>
      <w:r>
        <w:rPr>
          <w:rFonts w:eastAsia="Tahoma"/>
          <w:lang w:val="cs-CZ"/>
        </w:rPr>
        <w:t>Libovolný počet vašich uživatelů smí používat software k vývoji a testování vašich aplikací v rámci online nebo místního školení a vzdělávání a k provádění akademického výzkumu.</w:t>
      </w:r>
    </w:p>
    <w:p w14:paraId="4CC4F5A4" w14:textId="77777777" w:rsidR="00D61D35" w:rsidRDefault="00FF4422" w:rsidP="000B3668">
      <w:pPr>
        <w:pStyle w:val="ListParagraph"/>
        <w:numPr>
          <w:ilvl w:val="0"/>
          <w:numId w:val="9"/>
        </w:numPr>
        <w:spacing w:before="0" w:after="0"/>
        <w:ind w:left="1080"/>
      </w:pPr>
      <w:r>
        <w:rPr>
          <w:rFonts w:eastAsia="Tahoma"/>
          <w:lang w:val="cs-CZ"/>
        </w:rPr>
        <w:t>Pokud neplatí nic z výše uvedeného a nejste podnik (definovaný níže), může software současně pro účely vývoje a testování vašich aplikací používat až 5 vašich individuálních uživatelů.</w:t>
      </w:r>
    </w:p>
    <w:p w14:paraId="4CC4F5A5" w14:textId="77777777" w:rsidR="00E13451" w:rsidRDefault="00E13451" w:rsidP="00E13451">
      <w:pPr>
        <w:pStyle w:val="ListParagraph"/>
        <w:spacing w:before="0" w:after="0"/>
        <w:ind w:left="1080"/>
      </w:pPr>
    </w:p>
    <w:p w14:paraId="4CC4F5A6" w14:textId="77777777" w:rsidR="00190EF1" w:rsidRDefault="00FF4422" w:rsidP="000B3668">
      <w:pPr>
        <w:pStyle w:val="ListParagraph"/>
        <w:numPr>
          <w:ilvl w:val="0"/>
          <w:numId w:val="9"/>
        </w:numPr>
        <w:spacing w:before="0" w:after="0"/>
        <w:ind w:left="1080"/>
      </w:pPr>
      <w:r>
        <w:rPr>
          <w:rFonts w:eastAsia="Tahoma"/>
          <w:lang w:val="cs-CZ"/>
        </w:rPr>
        <w:t xml:space="preserve">Pokud jste podnik, vaši zaměstnanci a smluvní dodavatelé </w:t>
      </w:r>
      <w:r>
        <w:rPr>
          <w:rFonts w:eastAsia="Tahoma"/>
          <w:u w:val="single"/>
          <w:lang w:val="cs-CZ"/>
        </w:rPr>
        <w:t>nesmějí</w:t>
      </w:r>
      <w:r>
        <w:rPr>
          <w:rFonts w:eastAsia="Tahoma"/>
          <w:lang w:val="cs-CZ"/>
        </w:rPr>
        <w:t xml:space="preserve"> software užívat k vývoji a testování vašich aplikací, a to s výjimkou účelů (i) Open Source, (ii) rozšíření Visual Studio, (iii) ovladačů zařízení pro operační systém Windows a (iv) vzdělávacích účelů povolených výše.</w:t>
      </w:r>
    </w:p>
    <w:p w14:paraId="4CC4F5A7" w14:textId="77777777" w:rsidR="00D61D35" w:rsidRPr="007869AA" w:rsidRDefault="00FF4422" w:rsidP="00AE7A06">
      <w:pPr>
        <w:pStyle w:val="ListParagraph"/>
        <w:spacing w:before="0" w:after="0"/>
        <w:ind w:left="1080"/>
      </w:pPr>
      <w:r>
        <w:rPr>
          <w:rFonts w:eastAsia="Tahoma"/>
          <w:lang w:val="cs-CZ"/>
        </w:rPr>
        <w:t xml:space="preserve"> </w:t>
      </w:r>
      <w:r>
        <w:rPr>
          <w:rFonts w:eastAsia="Tahoma"/>
          <w:lang w:val="cs-CZ"/>
        </w:rPr>
        <w:br/>
        <w:t>„</w:t>
      </w:r>
      <w:r>
        <w:rPr>
          <w:rFonts w:eastAsia="Tahoma"/>
          <w:b/>
          <w:bCs/>
          <w:lang w:val="cs-CZ"/>
        </w:rPr>
        <w:t>Podnik</w:t>
      </w:r>
      <w:r>
        <w:rPr>
          <w:rFonts w:eastAsia="Tahoma"/>
          <w:lang w:val="cs-CZ"/>
        </w:rPr>
        <w:t xml:space="preserve">“ je jakákoli organizace a její afilace, které mají souhrnně buď (a) více než 250 počítačů nebo uživatelů, </w:t>
      </w:r>
      <w:r>
        <w:rPr>
          <w:rFonts w:eastAsia="Tahoma"/>
          <w:u w:val="single"/>
          <w:lang w:val="cs-CZ"/>
        </w:rPr>
        <w:t>nebo</w:t>
      </w:r>
      <w:r>
        <w:rPr>
          <w:rFonts w:eastAsia="Tahoma"/>
          <w:lang w:val="cs-CZ"/>
        </w:rPr>
        <w:t xml:space="preserve"> (b) roční příjem jeden milion USD (nebo ekvivalent v jiné měně), a „afilace“ označují subjekty, které řídí (prostřednictvím většinového vlastnictví) nebo jsou řízeny či se nacházejí ve společném řízení s organizací.</w:t>
      </w:r>
    </w:p>
    <w:p w14:paraId="4CC4F5A8" w14:textId="77777777" w:rsidR="007B67AC" w:rsidRPr="009C1B39" w:rsidRDefault="00FF4422" w:rsidP="007B67AC">
      <w:pPr>
        <w:pStyle w:val="Heading2"/>
        <w:numPr>
          <w:ilvl w:val="1"/>
          <w:numId w:val="8"/>
        </w:numPr>
        <w:ind w:left="720" w:hanging="360"/>
      </w:pPr>
      <w:r>
        <w:rPr>
          <w:rFonts w:eastAsia="Tahoma"/>
          <w:lang w:val="cs-CZ"/>
        </w:rPr>
        <w:t>Úlohy.</w:t>
      </w:r>
      <w:r>
        <w:rPr>
          <w:rFonts w:eastAsia="Tahoma"/>
          <w:b w:val="0"/>
          <w:bCs w:val="0"/>
          <w:lang w:val="cs-CZ"/>
        </w:rPr>
        <w:t xml:space="preserve">  Tyto licenční podmínky platí pro vaše užívání úloh zpřístupněných v rámci softwaru,</w:t>
      </w:r>
      <w:r>
        <w:rPr>
          <w:rFonts w:eastAsia="Tahoma"/>
          <w:lang w:val="cs-CZ"/>
        </w:rPr>
        <w:t xml:space="preserve"> </w:t>
      </w:r>
      <w:r>
        <w:rPr>
          <w:rFonts w:eastAsia="Tahoma"/>
          <w:b w:val="0"/>
          <w:bCs w:val="0"/>
          <w:lang w:val="cs-CZ"/>
        </w:rPr>
        <w:t>kromě úloh nebo jejich součástí, pro které platí jiné licenční podmínky a zásady ohledně podpory.</w:t>
      </w:r>
    </w:p>
    <w:p w14:paraId="4CC4F5A9" w14:textId="77777777" w:rsidR="00D61D35" w:rsidRPr="00EB73C5" w:rsidRDefault="00FF4422" w:rsidP="007B67AC">
      <w:pPr>
        <w:pStyle w:val="Heading2"/>
        <w:numPr>
          <w:ilvl w:val="1"/>
          <w:numId w:val="8"/>
        </w:numPr>
        <w:ind w:left="720" w:hanging="360"/>
      </w:pPr>
      <w:r>
        <w:rPr>
          <w:rFonts w:eastAsia="Tahoma"/>
          <w:lang w:val="cs-CZ"/>
        </w:rPr>
        <w:t xml:space="preserve">Záložní kopie. </w:t>
      </w:r>
      <w:r>
        <w:rPr>
          <w:rFonts w:eastAsia="Tahoma"/>
          <w:b w:val="0"/>
          <w:bCs w:val="0"/>
          <w:lang w:val="cs-CZ"/>
        </w:rPr>
        <w:t>Smíte zhotovit jednu záložní kopii softwaru pro účely jeho přeinstalace</w:t>
      </w:r>
    </w:p>
    <w:p w14:paraId="4CC4F5AA" w14:textId="77777777" w:rsidR="008348D7" w:rsidRPr="00EB73C5" w:rsidRDefault="00FF4422" w:rsidP="000B3668">
      <w:pPr>
        <w:pStyle w:val="Heading2"/>
        <w:numPr>
          <w:ilvl w:val="1"/>
          <w:numId w:val="8"/>
        </w:numPr>
        <w:ind w:left="720" w:hanging="360"/>
        <w:rPr>
          <w:b w:val="0"/>
        </w:rPr>
      </w:pPr>
      <w:r>
        <w:rPr>
          <w:rFonts w:eastAsia="Tahoma"/>
          <w:lang w:val="cs-CZ"/>
        </w:rPr>
        <w:t xml:space="preserve">Online služby softwaru. </w:t>
      </w:r>
      <w:r>
        <w:rPr>
          <w:rFonts w:eastAsia="Tahoma"/>
          <w:b w:val="0"/>
          <w:bCs w:val="0"/>
          <w:lang w:val="cs-CZ"/>
        </w:rPr>
        <w:t>Některé funkce softwaru využívají online služby, aby vám poskytovaly informace o aktualizacích softwaru nebo o jeho rozšíření či aby vám umožnily načítat obsah, spolupracovat s druhými či jinak doplnit vaše vývojové zkušenosti. V rámci této smlouvy zahrnuje pojem „software“ tyto funkce online služeb.</w:t>
      </w:r>
    </w:p>
    <w:p w14:paraId="4CC4F5AB" w14:textId="77777777" w:rsidR="00D76ECA" w:rsidRPr="00420812" w:rsidRDefault="00FF4422" w:rsidP="00D76ECA">
      <w:pPr>
        <w:pStyle w:val="Heading2"/>
        <w:numPr>
          <w:ilvl w:val="1"/>
          <w:numId w:val="8"/>
        </w:numPr>
        <w:ind w:left="720" w:hanging="360"/>
      </w:pPr>
      <w:r>
        <w:rPr>
          <w:rFonts w:eastAsia="Tahoma"/>
          <w:lang w:val="cs-CZ"/>
        </w:rPr>
        <w:t xml:space="preserve">Užívání pro účely ukázek. </w:t>
      </w:r>
      <w:r>
        <w:rPr>
          <w:rFonts w:eastAsia="Tahoma"/>
          <w:b w:val="0"/>
          <w:bCs w:val="0"/>
          <w:lang w:val="cs-CZ"/>
        </w:rPr>
        <w:t>Mezi povolená použití výše patří používání softwaru během ukázek vašich aplikací.</w:t>
      </w:r>
    </w:p>
    <w:p w14:paraId="4CC4F5AC" w14:textId="77777777" w:rsidR="00307948" w:rsidRDefault="00FF4422" w:rsidP="00307948">
      <w:pPr>
        <w:pStyle w:val="Heading1"/>
        <w:widowControl w:val="0"/>
        <w:rPr>
          <w:rFonts w:eastAsia="SimSun"/>
          <w:b w:val="0"/>
          <w:bCs w:val="0"/>
        </w:rPr>
      </w:pPr>
      <w:r>
        <w:rPr>
          <w:rFonts w:eastAsia="Tahoma"/>
          <w:lang w:val="cs-CZ"/>
        </w:rPr>
        <w:t xml:space="preserve">PŘEDBĚŽNÁ VERZE SOFTWARU.  </w:t>
      </w:r>
      <w:r>
        <w:rPr>
          <w:rFonts w:eastAsia="Tahoma"/>
          <w:b w:val="0"/>
          <w:bCs w:val="0"/>
          <w:lang w:val="cs-CZ"/>
        </w:rPr>
        <w:t>.Toto je předběžná verze softwaru.  Je možné, že software nebude fungovat správně nebo stejným způsobem jako finální verze.  Společnost Microsoft jej může zaměnit za finální komerční verzi. Společnost Microsoft není povinna poskytovat údržbu, technickou podporu ani aktualizace pro vás ani pro software.</w:t>
      </w:r>
    </w:p>
    <w:p w14:paraId="4CC4F5AD" w14:textId="77777777" w:rsidR="00307948" w:rsidRPr="00F33C52" w:rsidRDefault="00FF4422" w:rsidP="00307948">
      <w:pPr>
        <w:pStyle w:val="Heading1"/>
        <w:widowControl w:val="0"/>
        <w:rPr>
          <w:rFonts w:eastAsia="SimSun"/>
          <w:b w:val="0"/>
          <w:bCs w:val="0"/>
        </w:rPr>
      </w:pPr>
      <w:r>
        <w:rPr>
          <w:rFonts w:eastAsia="Tahoma"/>
          <w:lang w:val="cs-CZ"/>
        </w:rPr>
        <w:t>SOFTWARE S ČASOVÝM POČÍTADLEM.</w:t>
      </w:r>
      <w:r>
        <w:rPr>
          <w:rFonts w:eastAsia="Tahoma"/>
          <w:b w:val="0"/>
          <w:bCs w:val="0"/>
          <w:lang w:val="cs-CZ"/>
        </w:rPr>
        <w:t xml:space="preserve"> Software je časově omezený a přestane fungovat k datu definovanému v tomto softwaru, kdy přestávají platit také vaše licenční práva k užívání tohoto softwaru. Jakmile software přestane fungovat, může vám být odebrán přístup ke kopiím kódu nebo jiným datům, která jsou v tomto softwaru uložena.</w:t>
      </w:r>
    </w:p>
    <w:p w14:paraId="4CC4F5AE" w14:textId="77777777" w:rsidR="00F33C52" w:rsidRDefault="00FF4422" w:rsidP="00307948">
      <w:pPr>
        <w:pStyle w:val="Heading1"/>
        <w:widowControl w:val="0"/>
        <w:rPr>
          <w:rFonts w:eastAsia="SimSun"/>
          <w:b w:val="0"/>
          <w:bCs w:val="0"/>
        </w:rPr>
      </w:pPr>
      <w:r>
        <w:rPr>
          <w:rFonts w:eastAsia="Tahoma"/>
          <w:lang w:val="cs-CZ"/>
        </w:rPr>
        <w:t xml:space="preserve">VAŠE NÁZORY.  </w:t>
      </w:r>
      <w:r>
        <w:rPr>
          <w:rFonts w:eastAsia="Tahoma"/>
          <w:b w:val="0"/>
          <w:bCs w:val="0"/>
          <w:lang w:val="cs-CZ"/>
        </w:rPr>
        <w:t xml:space="preserve">Pokud sdělíte společnosti Microsoft svoji zpětnou vazbu k softwaru, poskytujete tím společnosti Microsoft bezplatné právo k užívání, sdílení a komerčnímu využití této zpětné vazby jakýmkoli způsobem a k jakémukoli účelu.   Neposkytnete takovou zpětnou vazbu, která je předmětem licence vyžadující, aby společnost </w:t>
      </w:r>
      <w:r>
        <w:rPr>
          <w:rFonts w:eastAsia="Tahoma"/>
          <w:b w:val="0"/>
          <w:bCs w:val="0"/>
          <w:lang w:val="cs-CZ"/>
        </w:rPr>
        <w:lastRenderedPageBreak/>
        <w:t>Microsoft poskytla licenci k softwaru nebo dokumentaci třetím stranám proto, že jsme do nich zahrnuli vaši zpětnou vazbu.  Tato práva zůstanou v platnosti i po skončení účinnosti této smlouvy</w:t>
      </w:r>
    </w:p>
    <w:p w14:paraId="4CC4F5AF" w14:textId="77777777" w:rsidR="00D61D35" w:rsidRPr="00047592" w:rsidRDefault="00FF4422" w:rsidP="00D61D35">
      <w:pPr>
        <w:pStyle w:val="Heading1"/>
        <w:ind w:left="360" w:hanging="360"/>
      </w:pPr>
      <w:r>
        <w:rPr>
          <w:rFonts w:eastAsia="Tahoma"/>
          <w:lang w:val="cs-CZ"/>
        </w:rPr>
        <w:t>PODMÍNKY PRO SPECIFICKÉ SOUČÁSTI.</w:t>
      </w:r>
    </w:p>
    <w:p w14:paraId="4CC4F5B0" w14:textId="77777777" w:rsidR="00D61D35" w:rsidRPr="00AB750A" w:rsidRDefault="00FF4422" w:rsidP="00D61D35">
      <w:pPr>
        <w:pStyle w:val="Heading2"/>
        <w:ind w:left="720" w:hanging="360"/>
        <w:rPr>
          <w:b w:val="0"/>
        </w:rPr>
      </w:pPr>
      <w:r>
        <w:rPr>
          <w:rFonts w:eastAsia="Tahoma"/>
          <w:lang w:val="cs-CZ"/>
        </w:rPr>
        <w:t>Nástroje.</w:t>
      </w:r>
      <w:r>
        <w:rPr>
          <w:rFonts w:eastAsia="Tahoma"/>
          <w:b w:val="0"/>
          <w:bCs w:val="0"/>
          <w:lang w:val="cs-CZ"/>
        </w:rPr>
        <w:t xml:space="preserve"> Software obsahuje položky uvedené na seznamu nástrojů na adrese </w:t>
      </w:r>
      <w:hyperlink r:id="rId8" w:history="1">
        <w:r>
          <w:rPr>
            <w:rFonts w:eastAsia="Tahoma"/>
            <w:b w:val="0"/>
            <w:bCs w:val="0"/>
            <w:color w:val="0000FF"/>
            <w:u w:val="single"/>
            <w:lang w:val="cs-CZ"/>
          </w:rPr>
          <w:t>https://aka.ms/vs/16/utilities</w:t>
        </w:r>
      </w:hyperlink>
      <w:r>
        <w:rPr>
          <w:rFonts w:eastAsia="Tahoma"/>
          <w:b w:val="0"/>
          <w:bCs w:val="0"/>
          <w:lang w:val="cs-CZ"/>
        </w:rPr>
        <w:t>. Tyto položky smíte kopírovat a instalovat do vašich zařízení pro účely ladění a nasazování vašich aplikací a databází, které jste pomocí tohoto softwaru vyvinuli. Tyto nástroje jsou určeny pro dočasné použití. Tyto nástroje nemusí společnost Microsoft opravovat nebo aktualizovat mimo zbývající části softwaru. Vlastnosti některých těchto nástrojů mohou druhým osobám umožňovat přístup do zařízení, ve kterých jsou nástroje nainstalovány. Po odladění nebo nasazení svých aplikací a databází byste měli všechny nainstalované nástroje odstranit.  Společnost Microsoft nenese odpovědnost za použití zařízení, na kterých jsou tyto nástroje nainstalovány, (případně i aplikací a databází na těchto zařízeních) a přístup k nim libovolnou třetí stranou.</w:t>
      </w:r>
    </w:p>
    <w:p w14:paraId="4CC4F5B1" w14:textId="77777777" w:rsidR="00D61D35" w:rsidRPr="00366BFF" w:rsidRDefault="00FF4422" w:rsidP="00D61D35">
      <w:pPr>
        <w:pStyle w:val="Heading2"/>
        <w:widowControl w:val="0"/>
        <w:ind w:left="720" w:hanging="360"/>
      </w:pPr>
      <w:r>
        <w:rPr>
          <w:rFonts w:eastAsia="Tahoma"/>
          <w:lang w:val="cs-CZ"/>
        </w:rPr>
        <w:t xml:space="preserve">Sestavovací zařízení a Visual Studio Build Tools.  </w:t>
      </w:r>
      <w:r>
        <w:rPr>
          <w:rFonts w:eastAsia="Tahoma"/>
          <w:b w:val="0"/>
          <w:bCs w:val="0"/>
          <w:lang w:val="cs-CZ"/>
        </w:rPr>
        <w:t xml:space="preserve">Soubory ze softwaru nebo z nástrojů Visual Studio Build Tools smíte kopírovat a instalovat do sestavovacích zařízení, včetně fyzických zařízení a virtuálních počítačů nebo kontejnerů v takových počítačích, a to v místních nebo vzdálených počítačích, které vlastníte, jsou pro vás hostovány ve službě Microsoft Azure nebo jsou vyhrazeny výlučně pro vaše užívání (společně dále jako „sestavovací zařízení“).  Vy a další uživatelé ve vaší organizaci můžete tyto soubory používat ve vašich sestavovacích zařízeních pouze pro účely kompilace, sestavování a ověřování vašich aplikací vyvinutých pomocí tohoto softwaru nebo k provádění kvalitativních či výkonnostních testů takových aplikací v rámci procesu sestavování.  </w:t>
      </w:r>
    </w:p>
    <w:p w14:paraId="4CC4F5B2" w14:textId="77777777" w:rsidR="00D61D35" w:rsidRPr="00BA52B9" w:rsidRDefault="00FF4422" w:rsidP="00D61D35">
      <w:pPr>
        <w:pStyle w:val="Heading2"/>
        <w:ind w:left="720" w:hanging="360"/>
      </w:pPr>
      <w:r>
        <w:rPr>
          <w:rFonts w:eastAsia="Tahoma"/>
          <w:lang w:val="cs-CZ"/>
        </w:rPr>
        <w:t xml:space="preserve">Písma. </w:t>
      </w:r>
      <w:r>
        <w:rPr>
          <w:rFonts w:eastAsia="Tahoma"/>
          <w:b w:val="0"/>
          <w:bCs w:val="0"/>
          <w:lang w:val="cs-CZ"/>
        </w:rPr>
        <w:t>Pokud je software spuštěný, smíte užívat jeho písma k zobrazení a tisku obsahu. Písma lze (i) vkládat do obsahu pouze za splnění omezujících podmínek pro vkládání písem a smíte je (ii) dočasně stáhnout do tiskárny nebo jiných výstupních zařízení za účelem tisku obsahu.</w:t>
      </w:r>
    </w:p>
    <w:p w14:paraId="4CC4F5B3" w14:textId="77777777" w:rsidR="00D61D35" w:rsidRPr="00456CB1" w:rsidRDefault="00FF4422" w:rsidP="00D61D35">
      <w:pPr>
        <w:pStyle w:val="Heading2"/>
        <w:ind w:left="720" w:hanging="360"/>
        <w:rPr>
          <w:sz w:val="20"/>
          <w:szCs w:val="20"/>
        </w:rPr>
      </w:pPr>
      <w:r>
        <w:rPr>
          <w:rFonts w:eastAsia="Tahoma"/>
          <w:sz w:val="20"/>
          <w:szCs w:val="20"/>
          <w:lang w:val="cs-CZ"/>
        </w:rPr>
        <w:t xml:space="preserve">Licence pro další součásti. </w:t>
      </w:r>
    </w:p>
    <w:p w14:paraId="4CC4F5B4" w14:textId="77777777" w:rsidR="00D61D35" w:rsidRDefault="00FF4422" w:rsidP="00D61D35">
      <w:pPr>
        <w:pStyle w:val="Bullet4"/>
      </w:pPr>
      <w:r>
        <w:rPr>
          <w:rFonts w:eastAsia="Tahoma"/>
          <w:b/>
          <w:bCs/>
          <w:lang w:val="cs-CZ"/>
        </w:rPr>
        <w:t xml:space="preserve">Platformy společnosti Microsoft. </w:t>
      </w:r>
      <w:r>
        <w:rPr>
          <w:rFonts w:eastAsia="Tahoma"/>
          <w:lang w:val="cs-CZ"/>
        </w:rPr>
        <w:t xml:space="preserve">.Software může zahrnovat komponenty ze systému Microsoft Windows, Microsoft Windows Server, Microsoft SQL Server, Microsoft Exchange, Microsoft Office nebo </w:t>
      </w:r>
      <w:r>
        <w:rPr>
          <w:rFonts w:eastAsia="Tahoma"/>
          <w:sz w:val="20"/>
          <w:szCs w:val="20"/>
          <w:lang w:val="cs-CZ"/>
        </w:rPr>
        <w:t>Microsoft</w:t>
      </w:r>
      <w:r>
        <w:rPr>
          <w:rFonts w:eastAsia="Tahoma"/>
          <w:lang w:val="cs-CZ"/>
        </w:rPr>
        <w:t xml:space="preserve"> SharePoint. Užívání těchto komponent se řídí samostatnými smlouvami a jejich vlastními zásadami produktové podpory popsanými ve složce „Licenses” (licence) společnosti Microsoft umístěné u softwaru s výjimkou případů, kdy jsou samostatné licenční podmínky pro tyto komponenty umístěny přímo v přidruženém instalačním adresáři, kdy platí tyto licenční podmínky. </w:t>
      </w:r>
    </w:p>
    <w:p w14:paraId="4CC4F5B5" w14:textId="77777777" w:rsidR="00D61D35" w:rsidRPr="00CF2973" w:rsidRDefault="00FF4422" w:rsidP="00D61D35">
      <w:pPr>
        <w:pStyle w:val="Bullet4"/>
      </w:pPr>
      <w:r>
        <w:rPr>
          <w:rFonts w:eastAsia="Tahoma"/>
          <w:b/>
          <w:bCs/>
          <w:lang w:val="cs-CZ"/>
        </w:rPr>
        <w:t xml:space="preserve">Komponenty třetích stran. </w:t>
      </w:r>
      <w:r>
        <w:rPr>
          <w:rFonts w:eastAsia="Tahoma"/>
          <w:lang w:val="cs-CZ"/>
        </w:rPr>
        <w:t xml:space="preserve">Software může zahrnovat komponenty třetích stran se samostatnými právními poučeními nebo komponenty, jejichž užívání se řídí jinými smlouvami, které mohou být popsány v souborech ThirdPartyNotices připojených k softwaru. </w:t>
      </w:r>
    </w:p>
    <w:p w14:paraId="4CC4F5B6" w14:textId="77777777" w:rsidR="00D61D35" w:rsidRPr="007869AA" w:rsidRDefault="00FF4422" w:rsidP="00D61D35">
      <w:pPr>
        <w:pStyle w:val="Heading2"/>
        <w:ind w:left="720" w:hanging="360"/>
      </w:pPr>
      <w:r>
        <w:rPr>
          <w:rFonts w:eastAsia="Tahoma"/>
          <w:lang w:val="cs-CZ"/>
        </w:rPr>
        <w:t>Správci balíčků.</w:t>
      </w:r>
      <w:r>
        <w:rPr>
          <w:rFonts w:eastAsia="Tahoma"/>
          <w:b w:val="0"/>
          <w:bCs w:val="0"/>
          <w:lang w:val="cs-CZ"/>
        </w:rPr>
        <w:t xml:space="preserve"> Software zahrnuje správce balíčků, například NuGet, které umožňují stahovat jiné softwarové balíčky společnosti Microsoft nebo třetí strany a užívat je s vašimi aplikacemi. Na tyto balíčky se vztahují jejich vlastní licence, nikoli tyto licenční podmínky. Společnost Microsoft nezajišťuje distribuci ani licencování balíčků třetích stran a neposkytuje pro ně žádné záruky.</w:t>
      </w:r>
    </w:p>
    <w:p w14:paraId="4CC4F5B7" w14:textId="77777777" w:rsidR="00D61D35" w:rsidRPr="007869AA" w:rsidRDefault="00FF4422" w:rsidP="00D61D35">
      <w:pPr>
        <w:pStyle w:val="Heading1"/>
        <w:ind w:left="360" w:hanging="360"/>
      </w:pPr>
      <w:r>
        <w:rPr>
          <w:rFonts w:eastAsia="Tahoma"/>
          <w:lang w:val="cs-CZ"/>
        </w:rPr>
        <w:t>OPĚTOVNĚ ŠIŘITELNÝ KÓD.</w:t>
      </w:r>
      <w:r>
        <w:rPr>
          <w:rFonts w:eastAsia="Tahoma"/>
          <w:b w:val="0"/>
          <w:bCs w:val="0"/>
          <w:lang w:val="cs-CZ"/>
        </w:rPr>
        <w:t xml:space="preserve"> Software obsahuje kód, který máte povoleno distribuovat v aplikacích, které vyvinete podle popisu v tomto oddílu. Pro účely tohoto oddílu 6 se pojmem „distribuce“ rozumí také nasazení vašich aplikací pro třetí strany pro účely přístupu přes Internet.</w:t>
      </w:r>
      <w:r>
        <w:rPr>
          <w:rFonts w:eastAsia="Tahoma"/>
          <w:b w:val="0"/>
          <w:bCs w:val="0"/>
          <w:lang w:val="cs-CZ"/>
        </w:rPr>
        <w:br/>
      </w:r>
    </w:p>
    <w:p w14:paraId="4CC4F5B8" w14:textId="77777777" w:rsidR="00D61D35" w:rsidRPr="007869AA" w:rsidRDefault="00FF4422" w:rsidP="00D61D35">
      <w:pPr>
        <w:pStyle w:val="Heading2"/>
        <w:ind w:left="720" w:hanging="360"/>
      </w:pPr>
      <w:r>
        <w:rPr>
          <w:rFonts w:eastAsia="Tahoma"/>
          <w:lang w:val="cs-CZ"/>
        </w:rPr>
        <w:t>Právo na užívání a distribuci.</w:t>
      </w:r>
      <w:r>
        <w:rPr>
          <w:rFonts w:eastAsia="Tahoma"/>
          <w:b w:val="0"/>
          <w:bCs w:val="0"/>
          <w:lang w:val="cs-CZ"/>
        </w:rPr>
        <w:t xml:space="preserve"> Kód a další soubory uvedené dále označujeme pojmem „kód k distribuci“.</w:t>
      </w:r>
    </w:p>
    <w:p w14:paraId="4CC4F5B9" w14:textId="77777777" w:rsidR="00D61D35" w:rsidRPr="007869AA" w:rsidRDefault="00FF4422" w:rsidP="00D61D35">
      <w:pPr>
        <w:pStyle w:val="Bullet4"/>
      </w:pPr>
      <w:r>
        <w:rPr>
          <w:rFonts w:eastAsia="Tahoma"/>
          <w:b/>
          <w:bCs/>
          <w:lang w:val="cs-CZ"/>
        </w:rPr>
        <w:t>Opětovně šiřitelný kód</w:t>
      </w:r>
      <w:r>
        <w:rPr>
          <w:rFonts w:eastAsia="Tahoma"/>
          <w:lang w:val="cs-CZ"/>
        </w:rPr>
        <w:t xml:space="preserve">. Smíte kopírovat a distribuovat kód uvedený v seznamu distribuovatelných kódů na adrese https://aka.ms/vs/16/redistribution. </w:t>
      </w:r>
    </w:p>
    <w:p w14:paraId="4CC4F5BA" w14:textId="77777777" w:rsidR="00D61D35" w:rsidRPr="007869AA" w:rsidRDefault="00FF4422" w:rsidP="00D61D35">
      <w:pPr>
        <w:pStyle w:val="Bullet4"/>
      </w:pPr>
      <w:r>
        <w:rPr>
          <w:rFonts w:eastAsia="Tahoma"/>
          <w:b/>
          <w:bCs/>
          <w:lang w:val="cs-CZ"/>
        </w:rPr>
        <w:t>Ukázkový kód, šablony a styly</w:t>
      </w:r>
      <w:r>
        <w:rPr>
          <w:rFonts w:eastAsia="Tahoma"/>
          <w:lang w:val="cs-CZ"/>
        </w:rPr>
        <w:t>. Smíte kopírovat, měnit a distribuovat zdrojový kód a kód objektu označený jako „vzorek“, „šablona“, „jednoduché styly“ nebo „styly skicy“.</w:t>
      </w:r>
    </w:p>
    <w:p w14:paraId="4CC4F5BB" w14:textId="77777777" w:rsidR="00D61D35" w:rsidRPr="007869AA" w:rsidRDefault="00FF4422" w:rsidP="00D61D35">
      <w:pPr>
        <w:pStyle w:val="Bullet4"/>
      </w:pPr>
      <w:r>
        <w:rPr>
          <w:rFonts w:eastAsia="Tahoma"/>
          <w:b/>
          <w:bCs/>
          <w:lang w:val="cs-CZ"/>
        </w:rPr>
        <w:t>Distribuce pomocí třetích stran</w:t>
      </w:r>
      <w:r>
        <w:rPr>
          <w:rFonts w:eastAsia="Tahoma"/>
          <w:lang w:val="cs-CZ"/>
        </w:rPr>
        <w:t>. Můžete povolit distributorům aplikací kopírování a distribuci kódu k distribuci jako součást těchto aplikací.</w:t>
      </w:r>
    </w:p>
    <w:p w14:paraId="4CC4F5BC" w14:textId="77777777" w:rsidR="00D61D35" w:rsidRPr="007869AA" w:rsidRDefault="00FF4422" w:rsidP="00D61D35">
      <w:pPr>
        <w:pStyle w:val="Heading2"/>
        <w:ind w:left="720" w:hanging="360"/>
      </w:pPr>
      <w:r>
        <w:rPr>
          <w:rFonts w:eastAsia="Tahoma"/>
          <w:lang w:val="cs-CZ"/>
        </w:rPr>
        <w:t xml:space="preserve">Požadavky na distribuci. </w:t>
      </w:r>
      <w:r>
        <w:rPr>
          <w:rFonts w:eastAsia="Tahoma"/>
          <w:b w:val="0"/>
          <w:bCs w:val="0"/>
          <w:lang w:val="cs-CZ"/>
        </w:rPr>
        <w:t>V případě kódu k distribuci, který distribuujete, musíte splnit tyto podmínky:</w:t>
      </w:r>
    </w:p>
    <w:p w14:paraId="4CC4F5BD" w14:textId="77777777" w:rsidR="00D61D35" w:rsidRPr="007869AA" w:rsidRDefault="00FF4422" w:rsidP="00517446">
      <w:pPr>
        <w:pStyle w:val="Bullet4"/>
      </w:pPr>
      <w:r>
        <w:rPr>
          <w:rFonts w:eastAsia="Tahoma"/>
          <w:lang w:val="cs-CZ"/>
        </w:rPr>
        <w:lastRenderedPageBreak/>
        <w:t>doplnit jej v rámci svých aplikací o významné primární funkce a</w:t>
      </w:r>
    </w:p>
    <w:p w14:paraId="4CC4F5BE" w14:textId="77777777" w:rsidR="00D61D35" w:rsidRPr="00103DCB" w:rsidRDefault="00FF4422" w:rsidP="00D61D35">
      <w:pPr>
        <w:pStyle w:val="Bullet4"/>
      </w:pPr>
      <w:r>
        <w:rPr>
          <w:rFonts w:eastAsia="Tahoma"/>
          <w:lang w:val="cs-CZ"/>
        </w:rPr>
        <w:t>vyžadovat, aby distributoři a externí koncoví uživatelé odsouhlasili podmínky chránící kód k distribuci nejméně ve stejné míře jako tato smlouva.</w:t>
      </w:r>
    </w:p>
    <w:p w14:paraId="4CC4F5BF" w14:textId="77777777" w:rsidR="00D61D35" w:rsidRPr="00103DCB" w:rsidRDefault="00FF4422" w:rsidP="00D61D35">
      <w:pPr>
        <w:pStyle w:val="Heading2"/>
        <w:ind w:left="720" w:hanging="360"/>
      </w:pPr>
      <w:r>
        <w:rPr>
          <w:rFonts w:eastAsia="Tahoma"/>
          <w:lang w:val="cs-CZ"/>
        </w:rPr>
        <w:t>Distribuční omezení.</w:t>
      </w:r>
      <w:r>
        <w:rPr>
          <w:rFonts w:eastAsia="Tahoma"/>
          <w:b w:val="0"/>
          <w:bCs w:val="0"/>
          <w:lang w:val="cs-CZ"/>
        </w:rPr>
        <w:t xml:space="preserve"> Zákazník nesmí:</w:t>
      </w:r>
    </w:p>
    <w:p w14:paraId="4CC4F5C0" w14:textId="77777777" w:rsidR="00D61D35" w:rsidRPr="007869AA" w:rsidRDefault="00FF4422" w:rsidP="00D61D35">
      <w:pPr>
        <w:pStyle w:val="Bullet4"/>
      </w:pPr>
      <w:r>
        <w:rPr>
          <w:rFonts w:eastAsia="Tahoma"/>
          <w:lang w:val="cs-CZ"/>
        </w:rPr>
        <w:t>používat ochranné známky společnosti Microsoft v názvech svých aplikací nebo způsobem, který by naznačoval, že vaše aplikace pocházejí od společnosti Microsoft nebo že je společnost Microsoft schválila;</w:t>
      </w:r>
    </w:p>
    <w:p w14:paraId="4CC4F5C1" w14:textId="77777777" w:rsidR="00D61D35" w:rsidRPr="007869AA" w:rsidRDefault="00FF4422" w:rsidP="00D61D35">
      <w:pPr>
        <w:pStyle w:val="Bullet4"/>
      </w:pPr>
      <w:r>
        <w:rPr>
          <w:rFonts w:eastAsia="Tahoma"/>
          <w:lang w:val="cs-CZ"/>
        </w:rPr>
        <w:t>upravovat ani distribuovat zdrojový kód libovolného kódu k distribuci tak, aby se jeho libovolná část stala předmětem vyloučené licence. „Vyloučená licence“ je licence, která vyžaduje jako podmínku užívání, úprav nebo distribuce kódu, (i) aby byl kód zpřístupněn nebo zveřejněn ve tvaru zdrojového kódu nebo (ii) aby jej byli oprávněni upravovat ostatní uživatelé.</w:t>
      </w:r>
    </w:p>
    <w:p w14:paraId="4CC4F5C2" w14:textId="77777777" w:rsidR="002D59F4" w:rsidRPr="00FD5289" w:rsidRDefault="00FF4422" w:rsidP="002D59F4">
      <w:pPr>
        <w:pStyle w:val="Heading1"/>
        <w:ind w:left="360" w:hanging="360"/>
        <w:rPr>
          <w:rFonts w:eastAsia="SimSun"/>
        </w:rPr>
      </w:pPr>
      <w:r>
        <w:rPr>
          <w:rFonts w:eastAsia="Tahoma"/>
          <w:lang w:val="cs-CZ"/>
        </w:rPr>
        <w:t>VÝVOJ ROZŠÍŘENÍ.</w:t>
      </w:r>
    </w:p>
    <w:p w14:paraId="4CC4F5C3" w14:textId="77777777" w:rsidR="002D59F4" w:rsidRDefault="00FF4422" w:rsidP="002D59F4">
      <w:pPr>
        <w:pStyle w:val="Heading2"/>
        <w:tabs>
          <w:tab w:val="clear" w:pos="813"/>
          <w:tab w:val="num" w:pos="1350"/>
        </w:tabs>
        <w:ind w:left="720" w:hanging="360"/>
        <w:rPr>
          <w:rFonts w:eastAsia="SimSun"/>
          <w:b w:val="0"/>
        </w:rPr>
      </w:pPr>
      <w:r>
        <w:rPr>
          <w:rFonts w:eastAsia="Tahoma"/>
          <w:lang w:val="cs-CZ"/>
        </w:rPr>
        <w:t xml:space="preserve">Omezení rozšíření. </w:t>
      </w:r>
      <w:r>
        <w:rPr>
          <w:rFonts w:eastAsia="Tahoma"/>
          <w:b w:val="0"/>
          <w:bCs w:val="0"/>
          <w:lang w:val="cs-CZ"/>
        </w:rPr>
        <w:t>Nevyvinete ani neumožníte ostatním vyvinout rozšíření pro tento software (nebo kteroukoli jinou komponentu řady produktů Visual Studio), která obcházejí technická omezení implementovaná v softwaru. Společnost Microsoft technicky omezila nebo zakázala rozšiřitelnost softwaru, proto software nesmíte rozšířit, například tak, že byste, mimo jiné, do softwaru načítali nebo vkládali jakékoli doplňky, makra nebo balíčky jiných subjektů než společnosti Microsoft, v softwaru upravovali nastavení registru či přidávali funkce ekvivalentní funkcím v jiných produktech Visual Studio.</w:t>
      </w:r>
      <w:r>
        <w:rPr>
          <w:rFonts w:eastAsia="Tahoma"/>
          <w:b w:val="0"/>
          <w:bCs w:val="0"/>
          <w:lang w:val="cs-CZ"/>
        </w:rPr>
        <w:br/>
      </w:r>
    </w:p>
    <w:p w14:paraId="4CC4F5C4" w14:textId="77777777" w:rsidR="002D59F4" w:rsidRPr="00FD5289" w:rsidRDefault="00FF4422" w:rsidP="002D59F4">
      <w:pPr>
        <w:pStyle w:val="Heading2"/>
        <w:tabs>
          <w:tab w:val="clear" w:pos="813"/>
          <w:tab w:val="num" w:pos="1350"/>
        </w:tabs>
        <w:ind w:left="720" w:hanging="360"/>
        <w:rPr>
          <w:b w:val="0"/>
        </w:rPr>
      </w:pPr>
      <w:r>
        <w:rPr>
          <w:rFonts w:eastAsia="Tahoma"/>
          <w:lang w:val="cs-CZ"/>
        </w:rPr>
        <w:t>Zákaz zhoršování kvality softwaru</w:t>
      </w:r>
      <w:r>
        <w:rPr>
          <w:rFonts w:eastAsia="Tahoma"/>
          <w:b w:val="0"/>
          <w:bCs w:val="0"/>
          <w:lang w:val="cs-CZ"/>
        </w:rPr>
        <w:t>. Pokud vyvinete rozšíření pro tento software (nebo kteroukoli jinou komponentu řady produktů Visual Studio), musíte instalaci, odinstalaci a fungování rozšíření otestovat s cílem zajistit, aby tyto procesy nedeaktivovaly žádné funkce ani neměly negativní vliv na funkce softwaru (nebo jeho součástí) nebo jakéhokoli předchozí verze nebo vydání tohoto softwaru.</w:t>
      </w:r>
      <w:r>
        <w:rPr>
          <w:rFonts w:eastAsia="Tahoma"/>
          <w:b w:val="0"/>
          <w:bCs w:val="0"/>
          <w:lang w:val="cs-CZ"/>
        </w:rPr>
        <w:br/>
      </w:r>
    </w:p>
    <w:p w14:paraId="4CC4F5C5" w14:textId="77777777" w:rsidR="00495061" w:rsidRPr="00495061" w:rsidRDefault="00FF4422" w:rsidP="007F18B2">
      <w:pPr>
        <w:pStyle w:val="Heading1"/>
        <w:ind w:left="360" w:hanging="360"/>
        <w:rPr>
          <w:rFonts w:eastAsia="SimSun"/>
        </w:rPr>
      </w:pPr>
      <w:r>
        <w:rPr>
          <w:rFonts w:eastAsia="Tahoma"/>
          <w:lang w:val="cs-CZ"/>
        </w:rPr>
        <w:t>DATA</w:t>
      </w:r>
      <w:r>
        <w:rPr>
          <w:rFonts w:eastAsia="Tahoma"/>
          <w:b w:val="0"/>
          <w:bCs w:val="0"/>
          <w:lang w:val="cs-CZ"/>
        </w:rPr>
        <w:t xml:space="preserve">.  </w:t>
      </w:r>
    </w:p>
    <w:p w14:paraId="4CC4F5C6" w14:textId="77777777" w:rsidR="00D61D35" w:rsidRPr="00495061" w:rsidRDefault="00FF4422" w:rsidP="00495061">
      <w:pPr>
        <w:pStyle w:val="Heading2"/>
        <w:ind w:left="720" w:hanging="360"/>
        <w:rPr>
          <w:b w:val="0"/>
        </w:rPr>
      </w:pPr>
      <w:r>
        <w:rPr>
          <w:rFonts w:eastAsia="Tahoma"/>
          <w:lang w:val="cs-CZ"/>
        </w:rPr>
        <w:t xml:space="preserve">Shromažďování údajů. </w:t>
      </w:r>
      <w:r>
        <w:rPr>
          <w:rFonts w:eastAsia="Tahoma"/>
          <w:b w:val="0"/>
          <w:bCs w:val="0"/>
          <w:lang w:val="cs-CZ"/>
        </w:rPr>
        <w:t>Software může shromažďovat informace o vás a užívání softwaru a odesílat je společnosti Microsoft. Společnost Microsoft může tyto informace použít k poskytování služeb a zlepšování svých produktů a služeb. K některým z těchto scénářů se nemusíte přihlásit, jak je popsáno v dokumentaci k softwaru.  Něk</w:t>
      </w:r>
      <w:r>
        <w:rPr>
          <w:rFonts w:eastAsia="Tahoma"/>
          <w:b w:val="0"/>
          <w:bCs w:val="0"/>
          <w:color w:val="000000"/>
          <w:lang w:val="cs-CZ"/>
        </w:rPr>
        <w:t>teré funkce v softwaru mohou vám a společnosti Microsoft povolovat shromažďování dat od uživatelů vašich aplikací</w:t>
      </w:r>
      <w:r>
        <w:rPr>
          <w:rFonts w:eastAsia="Tahoma"/>
          <w:b w:val="0"/>
          <w:bCs w:val="0"/>
          <w:lang w:val="cs-CZ"/>
        </w:rPr>
        <w:t xml:space="preserve">. Při užívání těchto funkcí musíte dodržovat příslušné zákony, včetně poskytování příslušných sdělení uživatelům vašich aplikací společně prohlášením společnosti Microsoft o ochraně osobních údajů. Naše prohlášení o ochraně osobních údajů naleznete na adrese </w:t>
      </w:r>
      <w:hyperlink r:id="rId9" w:history="1">
        <w:r>
          <w:rPr>
            <w:rFonts w:eastAsia="Tahoma" w:cs="Times New Roman"/>
            <w:b w:val="0"/>
            <w:bCs w:val="0"/>
            <w:color w:val="0000FF"/>
            <w:sz w:val="20"/>
            <w:szCs w:val="20"/>
            <w:u w:val="single"/>
            <w:lang w:val="cs-CZ"/>
          </w:rPr>
          <w:t>https://go.microsoft.com/fwlink/?LinkID=824704</w:t>
        </w:r>
      </w:hyperlink>
      <w:r>
        <w:rPr>
          <w:rFonts w:eastAsia="Tahoma" w:cs="Times New Roman"/>
          <w:b w:val="0"/>
          <w:bCs w:val="0"/>
          <w:color w:val="0000FF"/>
          <w:u w:val="single"/>
          <w:lang w:val="cs-CZ"/>
        </w:rPr>
        <w:t xml:space="preserve">. </w:t>
      </w:r>
      <w:r>
        <w:rPr>
          <w:rFonts w:eastAsia="Tahoma"/>
          <w:b w:val="0"/>
          <w:bCs w:val="0"/>
          <w:lang w:val="cs-CZ"/>
        </w:rPr>
        <w:t>Další informace o sběru a užívání dat naleznete v dokumentaci k softwaru a v našem prohlášení o ochraně osobních údajů. Užitím tohoto softwaru vyjadřujete svůj souhlas s těmito postupy.</w:t>
      </w:r>
    </w:p>
    <w:p w14:paraId="4CC4F5C7" w14:textId="671A04BD" w:rsidR="00495061" w:rsidRPr="007F18B2" w:rsidRDefault="00FF4422" w:rsidP="00495061">
      <w:pPr>
        <w:pStyle w:val="Heading2"/>
        <w:ind w:left="720" w:hanging="360"/>
        <w:rPr>
          <w:rFonts w:eastAsia="SimSun"/>
        </w:rPr>
      </w:pPr>
      <w:r>
        <w:rPr>
          <w:rFonts w:eastAsia="Tahoma"/>
          <w:lang w:val="cs-CZ"/>
        </w:rPr>
        <w:t xml:space="preserve">Zpracování osobních údajů. </w:t>
      </w:r>
      <w:r>
        <w:rPr>
          <w:rFonts w:eastAsia="Tahoma"/>
          <w:b w:val="0"/>
          <w:bCs w:val="0"/>
          <w:lang w:val="cs-CZ"/>
        </w:rPr>
        <w:t xml:space="preserve">V rámci svojí role zpracovatele a dílčího zpracovatele osobních údajů v souvislosti se softwarem společnost Microsoft přijímá vůči všem zákazníkům s účinností ke dni 25. května 2018 závazky v souladu s podmínkami pro online služby dle obecného nařízení Evropské unie o ochraně osobních údajů, které naleznete na adrese </w:t>
      </w:r>
      <w:hyperlink r:id="rId10" w:history="1">
        <w:r w:rsidRPr="00261832">
          <w:rPr>
            <w:rStyle w:val="Hyperlink"/>
            <w:rFonts w:eastAsia="SimSun" w:cs="Tahoma"/>
            <w:b w:val="0"/>
            <w:szCs w:val="20"/>
          </w:rPr>
          <w:t>https://docs.microsoft.com/en-us/legal/gdpr</w:t>
        </w:r>
      </w:hyperlink>
      <w:r>
        <w:rPr>
          <w:rFonts w:eastAsia="Tahoma"/>
          <w:b w:val="0"/>
          <w:bCs w:val="0"/>
          <w:lang w:val="cs-CZ"/>
        </w:rPr>
        <w:t>.</w:t>
      </w:r>
    </w:p>
    <w:p w14:paraId="4CC4F5C8" w14:textId="77777777" w:rsidR="00D61D35" w:rsidRPr="007869AA" w:rsidRDefault="00FF4422" w:rsidP="00D61D35">
      <w:pPr>
        <w:pStyle w:val="Heading1"/>
        <w:ind w:left="360" w:hanging="360"/>
      </w:pPr>
      <w:r>
        <w:rPr>
          <w:rFonts w:eastAsia="Tahoma"/>
          <w:lang w:val="cs-CZ"/>
        </w:rPr>
        <w:t xml:space="preserve">ROZSAH LICENCE. </w:t>
      </w:r>
      <w:r>
        <w:rPr>
          <w:rFonts w:eastAsia="Tahoma"/>
          <w:b w:val="0"/>
          <w:bCs w:val="0"/>
          <w:lang w:val="cs-CZ"/>
        </w:rPr>
        <w:t>Software se neprodává, pouze se poskytuje licence k jeho užívání. Tyto licenční podmínky vám zajistí některá práva k používání softwaru. Všechna ostatní práva si vyhrazuje společnost Microsoft. Pokud vám rozhodné právo dává další práva, která mají přednost před tímto omezením, smíte používat tento software pouze tak, jak je výslovně povoleno v těchto licenčních podmínkách. Současně musíte dodržovat veškerá technická omezení v softwaru, která umožňují jeho užívání pouze určitými způsoby. Kromě toho nesmíte:</w:t>
      </w:r>
    </w:p>
    <w:p w14:paraId="4CC4F5C9" w14:textId="77777777" w:rsidR="00D61D35" w:rsidRPr="007869AA" w:rsidRDefault="00FF4422" w:rsidP="00D61D35">
      <w:pPr>
        <w:pStyle w:val="Bullet4"/>
      </w:pPr>
      <w:r>
        <w:rPr>
          <w:rFonts w:eastAsia="Tahoma"/>
          <w:lang w:val="cs-CZ"/>
        </w:rPr>
        <w:t>překračovat žádná technická omezení softwaru;</w:t>
      </w:r>
    </w:p>
    <w:p w14:paraId="4CC4F5CA" w14:textId="77777777" w:rsidR="00D61D35" w:rsidRPr="007869AA" w:rsidRDefault="00FF4422" w:rsidP="00D61D35">
      <w:pPr>
        <w:pStyle w:val="Bullet4"/>
        <w:rPr>
          <w:rFonts w:eastAsia="SimSun"/>
        </w:rPr>
      </w:pPr>
      <w:r>
        <w:rPr>
          <w:rFonts w:eastAsia="Tahoma"/>
          <w:lang w:val="cs-CZ"/>
        </w:rPr>
        <w:t>provádět zpětnou analýzu, dekompilaci nebo rozklad softwaru nebo se jinak pokoušet odvodit zdrojový kód softwaru s výjimkou případů, kdy je to požadováno licenčními podmínkami stanovenými třetí stranou, kterými se řídí užívání určitých komponent typu open source, které mohou být zahrnuty do softwaru, a pouze v rozsahu těchto podmínek;</w:t>
      </w:r>
    </w:p>
    <w:p w14:paraId="4CC4F5CB" w14:textId="77777777" w:rsidR="00D61D35" w:rsidRPr="007869AA" w:rsidRDefault="00FF4422" w:rsidP="00D61D35">
      <w:pPr>
        <w:pStyle w:val="Bullet4"/>
      </w:pPr>
      <w:r>
        <w:rPr>
          <w:rFonts w:eastAsia="Tahoma"/>
          <w:lang w:val="cs-CZ"/>
        </w:rPr>
        <w:lastRenderedPageBreak/>
        <w:t>odebírat, minimalizovat, blokovat nebo upravovat sdělení společnosti Microsoft nebo jejích dodavatelů, která jsou v softwaru obsažena;</w:t>
      </w:r>
    </w:p>
    <w:p w14:paraId="4CC4F5CC" w14:textId="77777777" w:rsidR="00D61D35" w:rsidRPr="007869AA" w:rsidRDefault="00FF4422" w:rsidP="00D61D35">
      <w:pPr>
        <w:pStyle w:val="Bullet4"/>
      </w:pPr>
      <w:r>
        <w:rPr>
          <w:rFonts w:eastAsia="Tahoma"/>
          <w:lang w:val="cs-CZ"/>
        </w:rPr>
        <w:t xml:space="preserve">užívat software jakýmkoli způsobem, který je v rozporu se zákonem; </w:t>
      </w:r>
    </w:p>
    <w:p w14:paraId="4CC4F5CD" w14:textId="77777777" w:rsidR="006D3C37" w:rsidRDefault="00FF4422" w:rsidP="00D61D35">
      <w:pPr>
        <w:pStyle w:val="Bullet4"/>
      </w:pPr>
      <w:r>
        <w:rPr>
          <w:rFonts w:eastAsia="Tahoma"/>
          <w:lang w:val="cs-CZ"/>
        </w:rPr>
        <w:t xml:space="preserve">sdílet, publikovat, pronajímat nebo poskytovat tento software na leasing nebo </w:t>
      </w:r>
    </w:p>
    <w:p w14:paraId="4CC4F5CE" w14:textId="77777777" w:rsidR="00D61D35" w:rsidRPr="007869AA" w:rsidRDefault="00FF4422" w:rsidP="00D61D35">
      <w:pPr>
        <w:pStyle w:val="Bullet4"/>
      </w:pPr>
      <w:r>
        <w:rPr>
          <w:rFonts w:eastAsia="Tahoma"/>
          <w:lang w:val="cs-CZ"/>
        </w:rPr>
        <w:t>poskytovat software jako samostatnou nabídku nebo v kombinaci s jakoukoli z vašich aplikací pro ostatní uživatele k užívání nebo převádět software nebo tuto smlouvu na jakoukoli třetí stranu.</w:t>
      </w:r>
    </w:p>
    <w:p w14:paraId="4CC4F5CF" w14:textId="77777777" w:rsidR="00D61D35" w:rsidRPr="007869AA" w:rsidRDefault="00FF4422" w:rsidP="00D61D35">
      <w:pPr>
        <w:pStyle w:val="Heading1"/>
        <w:ind w:left="360" w:hanging="360"/>
        <w:rPr>
          <w:u w:val="single"/>
        </w:rPr>
      </w:pPr>
      <w:r>
        <w:rPr>
          <w:rFonts w:eastAsia="Tahoma"/>
          <w:lang w:val="cs-CZ"/>
        </w:rPr>
        <w:t xml:space="preserve">PODPORA. </w:t>
      </w:r>
      <w:hyperlink r:id="rId11" w:history="1">
        <w:r>
          <w:rPr>
            <w:rFonts w:eastAsia="Tahoma"/>
            <w:b w:val="0"/>
            <w:bCs w:val="0"/>
            <w:lang w:val="cs-CZ"/>
          </w:rPr>
          <w:t>Vzhledem k tomu</w:t>
        </w:r>
      </w:hyperlink>
      <w:r>
        <w:rPr>
          <w:rFonts w:eastAsia="Tahoma"/>
          <w:b w:val="0"/>
          <w:bCs w:val="0"/>
          <w:lang w:val="cs-CZ"/>
        </w:rPr>
        <w:t>, že tento software je poskytován „jak stojí a leží“, nemusíme k němu poskytovat žádné služby podpory.</w:t>
      </w:r>
    </w:p>
    <w:p w14:paraId="4CC4F5D0" w14:textId="77777777" w:rsidR="00D61D35" w:rsidRPr="007869AA" w:rsidRDefault="00FF4422" w:rsidP="00D61D35">
      <w:pPr>
        <w:pStyle w:val="Heading1"/>
        <w:ind w:left="360" w:hanging="360"/>
      </w:pPr>
      <w:r>
        <w:rPr>
          <w:rFonts w:eastAsia="Tahoma"/>
          <w:lang w:val="cs-CZ"/>
        </w:rPr>
        <w:t xml:space="preserve">ÚPLNÁ SMLOUVA. </w:t>
      </w:r>
      <w:r>
        <w:rPr>
          <w:rFonts w:eastAsia="Tahoma"/>
          <w:b w:val="0"/>
          <w:bCs w:val="0"/>
          <w:lang w:val="cs-CZ"/>
        </w:rPr>
        <w:t>Tato smlouva a podmínky pro doplňky, aktualizace, internetové služby a služby technické podpory, které užíváte, tvoří úplnou dohodu ohledně softwaru a služeb odborné pomoci.</w:t>
      </w:r>
    </w:p>
    <w:p w14:paraId="4CC4F5D1" w14:textId="77777777" w:rsidR="00B51307" w:rsidRPr="003E7583" w:rsidRDefault="00FF4422" w:rsidP="00B51307">
      <w:pPr>
        <w:pStyle w:val="Heading1"/>
        <w:ind w:left="360" w:hanging="360"/>
        <w:rPr>
          <w:rStyle w:val="Hyperlink"/>
          <w:rFonts w:cs="Tahoma"/>
          <w:b w:val="0"/>
          <w:color w:val="auto"/>
          <w:u w:val="none"/>
        </w:rPr>
      </w:pPr>
      <w:r>
        <w:rPr>
          <w:rFonts w:eastAsia="Tahoma"/>
          <w:lang w:val="cs-CZ"/>
        </w:rPr>
        <w:t xml:space="preserve">OMEZENÍ EXPORTU.  </w:t>
      </w:r>
      <w:r>
        <w:rPr>
          <w:rFonts w:eastAsia="Tahoma"/>
          <w:b w:val="0"/>
          <w:bCs w:val="0"/>
          <w:lang w:val="cs-CZ"/>
        </w:rPr>
        <w:t xml:space="preserve">Dále musíte dodržet veškeré místní i mezinárodní zákony a předpisy o exportu, které se na software vztahují, včetně omezení týkajících se místa určení, koncových uživatelů a koncového užívání. Další informace o omezeních exportu naleznete na adrese </w:t>
      </w:r>
      <w:hyperlink r:id="rId12" w:history="1">
        <w:r>
          <w:rPr>
            <w:rFonts w:eastAsia="Tahoma"/>
            <w:b w:val="0"/>
            <w:bCs w:val="0"/>
            <w:color w:val="0000FF"/>
            <w:u w:val="single"/>
            <w:lang w:val="cs-CZ"/>
          </w:rPr>
          <w:t>www.microsoft.com/exporting</w:t>
        </w:r>
      </w:hyperlink>
      <w:r>
        <w:rPr>
          <w:rFonts w:eastAsia="Tahoma"/>
          <w:b w:val="0"/>
          <w:bCs w:val="0"/>
          <w:color w:val="0000FF"/>
          <w:u w:val="single"/>
          <w:lang w:val="cs-CZ"/>
        </w:rPr>
        <w:t>.</w:t>
      </w:r>
    </w:p>
    <w:p w14:paraId="4CC4F5D2" w14:textId="77777777" w:rsidR="00D61D35" w:rsidRPr="000E0F9C" w:rsidRDefault="00FF4422" w:rsidP="00D61D35">
      <w:pPr>
        <w:pStyle w:val="Heading1"/>
        <w:ind w:left="360" w:hanging="360"/>
      </w:pPr>
      <w:r>
        <w:rPr>
          <w:rFonts w:eastAsia="Tahoma"/>
          <w:lang w:val="cs-CZ"/>
        </w:rPr>
        <w:t xml:space="preserve">ROZHODNÉ PRÁVO. </w:t>
      </w:r>
      <w:r>
        <w:rPr>
          <w:rFonts w:eastAsia="Tahoma"/>
          <w:b w:val="0"/>
          <w:bCs w:val="0"/>
          <w:lang w:val="cs-CZ"/>
        </w:rPr>
        <w:t>Pokud jste software získali v USA, řídí se výklad této smlouvy a nároky z titulu jejího porušení zákony státu Washington a na veškeré další nároky se vztahují zákony státu vašeho bydliště. Pokud jste software získali na území jakékoli jiné země, bude se tato smlouva řídit zákony této země.</w:t>
      </w:r>
    </w:p>
    <w:p w14:paraId="4CC4F5D3" w14:textId="77777777" w:rsidR="000E0F9C" w:rsidRPr="00465345" w:rsidRDefault="00FF4422" w:rsidP="00465345">
      <w:pPr>
        <w:pStyle w:val="Heading1"/>
        <w:tabs>
          <w:tab w:val="num" w:pos="540"/>
        </w:tabs>
        <w:ind w:left="360" w:hanging="360"/>
        <w:rPr>
          <w:b w:val="0"/>
        </w:rPr>
      </w:pPr>
      <w:r>
        <w:rPr>
          <w:rFonts w:eastAsia="Tahoma"/>
          <w:lang w:val="cs-CZ"/>
        </w:rPr>
        <w:t xml:space="preserve">PRÁVA SPOTŘEBITELE, REGIONÁLNÍ ODCHYLKY. </w:t>
      </w:r>
      <w:r>
        <w:rPr>
          <w:rFonts w:eastAsia="Tahoma"/>
          <w:b w:val="0"/>
          <w:bCs w:val="0"/>
          <w:lang w:val="cs-CZ"/>
        </w:rPr>
        <w:t>Tyto licenční podmínky stanovují určitá zákonná práva. Zákony vašeho státu nebo země vám mohou zaručovat i další práva, včetně spotřebitelských práv. Můžete mít rovněž určitá práva ve vztahu ke straně, od níž jste software získali. Tato smlouva nemění tato další práva, pokud právní řád vašeho státu či země jejich změnu nepovoluje. Pokud jste software například získali v jednom z regionů níže nebo platí povinné místní zákony, vztahují se na vás následující ustanovení:</w:t>
      </w:r>
    </w:p>
    <w:p w14:paraId="4CC4F5D4" w14:textId="77777777" w:rsidR="000E0F9C" w:rsidRPr="00465345" w:rsidRDefault="00FF4422" w:rsidP="000E0F9C">
      <w:pPr>
        <w:pStyle w:val="Heading2"/>
        <w:numPr>
          <w:ilvl w:val="0"/>
          <w:numId w:val="10"/>
        </w:numPr>
        <w:tabs>
          <w:tab w:val="clear" w:pos="7923"/>
        </w:tabs>
        <w:rPr>
          <w:b w:val="0"/>
        </w:rPr>
      </w:pPr>
      <w:r>
        <w:rPr>
          <w:rFonts w:eastAsia="Tahoma"/>
          <w:lang w:val="cs-CZ"/>
        </w:rPr>
        <w:t xml:space="preserve">Austrálie. </w:t>
      </w:r>
      <w:r>
        <w:rPr>
          <w:rFonts w:eastAsia="Tahoma"/>
          <w:b w:val="0"/>
          <w:bCs w:val="0"/>
          <w:lang w:val="cs-CZ"/>
        </w:rPr>
        <w:t>Na základě australského spotřebitelského práva máte zákonné záruky a záměrem žádného ustanovení těchto licenčních podmínek není ovlivňovat taková práva.</w:t>
      </w:r>
    </w:p>
    <w:p w14:paraId="4CC4F5D5" w14:textId="77777777" w:rsidR="000E0F9C" w:rsidRPr="00465345" w:rsidRDefault="00FF4422" w:rsidP="000E0F9C">
      <w:pPr>
        <w:pStyle w:val="Heading2"/>
        <w:numPr>
          <w:ilvl w:val="0"/>
          <w:numId w:val="10"/>
        </w:numPr>
        <w:tabs>
          <w:tab w:val="clear" w:pos="7923"/>
        </w:tabs>
        <w:rPr>
          <w:b w:val="0"/>
        </w:rPr>
      </w:pPr>
      <w:r>
        <w:rPr>
          <w:rFonts w:eastAsia="Tahoma"/>
          <w:lang w:val="cs-CZ"/>
        </w:rPr>
        <w:t xml:space="preserve">Kanada. </w:t>
      </w:r>
      <w:r>
        <w:rPr>
          <w:rFonts w:eastAsia="Tahoma"/>
          <w:b w:val="0"/>
          <w:bCs w:val="0"/>
          <w:lang w:val="cs-CZ"/>
        </w:rPr>
        <w:t>Příjem aktualizací na zařízení můžete ukončit vypnutím přístupu k Internetu. V případě, že se k internetu znovu připojíte, software začne znovu vyhledávat a instalovat aktualizace.</w:t>
      </w:r>
    </w:p>
    <w:p w14:paraId="4CC4F5D6" w14:textId="77777777" w:rsidR="000E0F9C" w:rsidRPr="00465345" w:rsidRDefault="00FF4422" w:rsidP="000E0F9C">
      <w:pPr>
        <w:pStyle w:val="Heading2"/>
        <w:numPr>
          <w:ilvl w:val="0"/>
          <w:numId w:val="10"/>
        </w:numPr>
        <w:tabs>
          <w:tab w:val="clear" w:pos="7923"/>
        </w:tabs>
        <w:rPr>
          <w:b w:val="0"/>
        </w:rPr>
      </w:pPr>
      <w:r>
        <w:rPr>
          <w:rFonts w:eastAsia="Tahoma"/>
          <w:lang w:val="cs-CZ"/>
        </w:rPr>
        <w:t>Německo a Rakousko</w:t>
      </w:r>
      <w:r>
        <w:rPr>
          <w:rFonts w:eastAsia="Tahoma"/>
          <w:b w:val="0"/>
          <w:bCs w:val="0"/>
          <w:lang w:val="cs-CZ"/>
        </w:rPr>
        <w:t>.</w:t>
      </w:r>
    </w:p>
    <w:p w14:paraId="4CC4F5D7" w14:textId="77777777" w:rsidR="000E0F9C" w:rsidRPr="00465345" w:rsidRDefault="00FF4422" w:rsidP="000E0F9C">
      <w:pPr>
        <w:ind w:left="717"/>
      </w:pPr>
      <w:r>
        <w:rPr>
          <w:rFonts w:eastAsia="Tahoma"/>
          <w:b/>
          <w:bCs/>
          <w:lang w:val="cs-CZ"/>
        </w:rPr>
        <w:t>(i)</w:t>
      </w:r>
      <w:r>
        <w:rPr>
          <w:rFonts w:eastAsia="Tahoma"/>
          <w:lang w:val="cs-CZ"/>
        </w:rPr>
        <w:tab/>
      </w:r>
      <w:r>
        <w:rPr>
          <w:rFonts w:eastAsia="Tahoma"/>
          <w:b/>
          <w:bCs/>
          <w:lang w:val="cs-CZ"/>
        </w:rPr>
        <w:t>Záruka.</w:t>
      </w:r>
      <w:r>
        <w:rPr>
          <w:rFonts w:eastAsia="Tahoma"/>
          <w:lang w:val="cs-CZ"/>
        </w:rPr>
        <w:t xml:space="preserve"> Řádně licencovaný software bude v podstatných rysech fungovat tak, jak je popsáno v materiálech společnosti Microsoft dodávaných spolu s ním. Společnost Microsoft však ve vztahu k tomuto softwaru neposkytuje žádné smluvní záruky.</w:t>
      </w:r>
    </w:p>
    <w:p w14:paraId="4CC4F5D8" w14:textId="77777777" w:rsidR="000E0F9C" w:rsidRPr="00465345" w:rsidRDefault="00FF4422" w:rsidP="000E0F9C">
      <w:pPr>
        <w:ind w:left="717"/>
      </w:pPr>
      <w:r>
        <w:rPr>
          <w:rFonts w:eastAsia="Tahoma"/>
          <w:b/>
          <w:bCs/>
          <w:lang w:val="cs-CZ"/>
        </w:rPr>
        <w:t>(ii)</w:t>
      </w:r>
      <w:r>
        <w:rPr>
          <w:rFonts w:eastAsia="Tahoma"/>
          <w:lang w:val="cs-CZ"/>
        </w:rPr>
        <w:tab/>
      </w:r>
      <w:r>
        <w:rPr>
          <w:rFonts w:eastAsia="Tahoma"/>
          <w:b/>
          <w:bCs/>
          <w:lang w:val="cs-CZ"/>
        </w:rPr>
        <w:t>Omezení odpovědnosti.</w:t>
      </w:r>
      <w:r>
        <w:rPr>
          <w:rFonts w:eastAsia="Tahoma"/>
          <w:lang w:val="cs-CZ"/>
        </w:rPr>
        <w:t xml:space="preserve"> V případě záměrného jednání, hrubé nedbalosti, nároků na základě zákona o odpovědnosti za produkt a také v případě úmrtí nebo zranění nese společnost Microsoft odpovědnost podle zákonného práva.</w:t>
      </w:r>
    </w:p>
    <w:p w14:paraId="4CC4F5D9" w14:textId="77777777" w:rsidR="003F0C02" w:rsidRPr="00465345" w:rsidRDefault="00FF4422" w:rsidP="000E0F9C">
      <w:pPr>
        <w:pStyle w:val="Heading1"/>
        <w:numPr>
          <w:ilvl w:val="0"/>
          <w:numId w:val="0"/>
        </w:numPr>
        <w:ind w:left="717"/>
        <w:rPr>
          <w:b w:val="0"/>
        </w:rPr>
      </w:pPr>
      <w:r>
        <w:rPr>
          <w:rFonts w:eastAsia="Tahoma"/>
          <w:b w:val="0"/>
          <w:lang w:val="cs-CZ"/>
        </w:rPr>
        <w:t>V souladu s předchozím ustanovením (ii) ponese společnost Microsoft odpovědnost pouze za mírnou nedbalost, pokud společnost Microsoft porušují takové závažné smluvní povinnosti, jejichž plnění umožňuje řádný výkon této smlouvy a jejichž porušení by ohrozilo účel této smlouvy a zajištění shody, které se může od strany trvale očekávat (tzv. „zásadní povinnosti“). V dalších případech mírné nedbalosti nenese společnost Microsoft odpovědnost za mírnou nedbalost.</w:t>
      </w:r>
    </w:p>
    <w:p w14:paraId="4CC4F5DA" w14:textId="77777777" w:rsidR="00D61D35" w:rsidRPr="007869AA" w:rsidRDefault="00FF4422" w:rsidP="00D61D35">
      <w:pPr>
        <w:pStyle w:val="Heading1"/>
        <w:ind w:left="360" w:hanging="360"/>
        <w:rPr>
          <w:caps/>
        </w:rPr>
      </w:pPr>
      <w:r>
        <w:rPr>
          <w:rFonts w:eastAsia="Tahoma"/>
          <w:lang w:val="cs-CZ"/>
        </w:rPr>
        <w:t xml:space="preserve">ODMÍTNUTÍ ZÁRUK. </w:t>
      </w:r>
      <w:r>
        <w:rPr>
          <w:rFonts w:eastAsia="Tahoma"/>
          <w:caps/>
          <w:lang w:val="cs-CZ"/>
        </w:rPr>
        <w:t>Software je licencován „jak stojí a leží“. Rizika spojená s jeho užíváním nesete vy. Společnost Microsoft neposkytuje žádné výslovné záruky, garance ani podmínky. V rozsahu povoleném vašimi místními zákony společnost Microsoft vylučuje předpokládané záruky prodejnosti, vhodnosti pro určitý účel a neporušování práv</w:t>
      </w:r>
      <w:r>
        <w:rPr>
          <w:rFonts w:eastAsia="Tahoma"/>
          <w:b w:val="0"/>
          <w:bCs w:val="0"/>
          <w:lang w:val="cs-CZ"/>
        </w:rPr>
        <w:t>.</w:t>
      </w:r>
    </w:p>
    <w:p w14:paraId="4CC4F5DB" w14:textId="77777777" w:rsidR="00D61D35" w:rsidRPr="007869AA" w:rsidRDefault="00FF4422" w:rsidP="00D61D35">
      <w:pPr>
        <w:pStyle w:val="Heading1"/>
        <w:ind w:left="360" w:hanging="360"/>
        <w:rPr>
          <w:caps/>
        </w:rPr>
      </w:pPr>
      <w:r>
        <w:rPr>
          <w:rFonts w:eastAsia="Tahoma"/>
          <w:caps/>
          <w:lang w:val="cs-CZ"/>
        </w:rPr>
        <w:t>OMEZENÍ NÁHRADY ŠKODY. Od společnosti Microsoft a jejích dodavatelů můžete získat pouze náhradu za přímé škody do maximální výše 5 USD. Nemáte nárok na náhradu za žádné jiné škody, včetně následných škod, ušlého zisku a zvláštních, nepřímých nebo náhodných škod.</w:t>
      </w:r>
    </w:p>
    <w:p w14:paraId="4CC4F5DC" w14:textId="77777777" w:rsidR="00D61D35" w:rsidRPr="007869AA" w:rsidRDefault="00FF4422" w:rsidP="00D61D35">
      <w:pPr>
        <w:pStyle w:val="Body1"/>
        <w:rPr>
          <w:rFonts w:eastAsia="SimSun"/>
        </w:rPr>
      </w:pPr>
      <w:r>
        <w:rPr>
          <w:rFonts w:eastAsia="Tahoma"/>
          <w:lang w:val="cs-CZ"/>
        </w:rPr>
        <w:lastRenderedPageBreak/>
        <w:t>Toto omezení se vztahuje na (a) cokoli související se softwarem, službami, obsahem (včetně kódu) na webových stránkách třetích stran nebo v aplikacích třetích stran a na (b) žaloby pro porušení smlouvy, porušení záruky, garance či podmínky, objektivní odpovědnosti, nedbalost či jiné občanskoprávní delikty v rozsahu povoleném rozhodným právem.</w:t>
      </w:r>
    </w:p>
    <w:p w14:paraId="4CC4F5DD" w14:textId="77777777" w:rsidR="00D61D35" w:rsidRDefault="00FF4422" w:rsidP="00D61D35">
      <w:pPr>
        <w:pStyle w:val="Bullet4"/>
        <w:numPr>
          <w:ilvl w:val="0"/>
          <w:numId w:val="0"/>
        </w:numPr>
        <w:ind w:left="360"/>
      </w:pPr>
      <w:r>
        <w:rPr>
          <w:rFonts w:eastAsia="Tahoma"/>
          <w:lang w:val="cs-CZ"/>
        </w:rPr>
        <w:t>Vztahuje se rovněž na situace, kdy společnost Microsoft věděla nebo měla vědět o možnosti vzniku těchto škod. Výše uvedené omezení nebo vyloučení se na vás nemusí vztahovat v případě, že váš stát nebo země neumožňuje vyloučení nebo omezení náhodných, následných nebo jiných škod.</w:t>
      </w:r>
    </w:p>
    <w:p w14:paraId="4CC4F5DE" w14:textId="77777777" w:rsidR="000E0F9C" w:rsidRDefault="000E0F9C" w:rsidP="00D61D35">
      <w:pPr>
        <w:pStyle w:val="Bullet4"/>
        <w:numPr>
          <w:ilvl w:val="0"/>
          <w:numId w:val="0"/>
        </w:numPr>
        <w:ind w:left="360"/>
      </w:pPr>
    </w:p>
    <w:p w14:paraId="4CC4F5DF" w14:textId="44D72E40" w:rsidR="000E0F9C" w:rsidRPr="007869AA" w:rsidRDefault="00715E23" w:rsidP="00D61D35">
      <w:pPr>
        <w:pStyle w:val="Bullet4"/>
        <w:numPr>
          <w:ilvl w:val="0"/>
          <w:numId w:val="0"/>
        </w:numPr>
        <w:ind w:left="360"/>
      </w:pPr>
      <w:r>
        <w:t xml:space="preserve">EULAID: </w:t>
      </w:r>
      <w:r w:rsidRPr="00715E23">
        <w:t>VS_Community_2019_RC_CSY.1029</w:t>
      </w:r>
      <w:bookmarkStart w:id="0" w:name="_GoBack"/>
      <w:bookmarkEnd w:id="0"/>
    </w:p>
    <w:sectPr w:rsidR="000E0F9C" w:rsidRPr="007869AA" w:rsidSect="00BA52B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1772" w14:textId="77777777" w:rsidR="00CD610D" w:rsidRDefault="00CD610D">
      <w:pPr>
        <w:spacing w:before="0" w:after="0"/>
      </w:pPr>
      <w:r>
        <w:separator/>
      </w:r>
    </w:p>
  </w:endnote>
  <w:endnote w:type="continuationSeparator" w:id="0">
    <w:p w14:paraId="1FF83422" w14:textId="77777777" w:rsidR="00CD610D" w:rsidRDefault="00CD61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69E9" w14:textId="77777777" w:rsidR="00CD610D" w:rsidRDefault="00CD610D">
      <w:pPr>
        <w:spacing w:before="0" w:after="0"/>
      </w:pPr>
      <w:r>
        <w:separator/>
      </w:r>
    </w:p>
  </w:footnote>
  <w:footnote w:type="continuationSeparator" w:id="0">
    <w:p w14:paraId="1B799570" w14:textId="77777777" w:rsidR="00CD610D" w:rsidRDefault="00CD61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4EC2FFA6">
      <w:start w:val="1"/>
      <w:numFmt w:val="bullet"/>
      <w:lvlText w:val=""/>
      <w:lvlJc w:val="left"/>
      <w:pPr>
        <w:ind w:left="1800" w:hanging="360"/>
      </w:pPr>
      <w:rPr>
        <w:rFonts w:ascii="Symbol" w:eastAsia="Times New Roman" w:hAnsi="Symbol" w:hint="default"/>
      </w:rPr>
    </w:lvl>
    <w:lvl w:ilvl="1" w:tplc="2F2C220C" w:tentative="1">
      <w:start w:val="1"/>
      <w:numFmt w:val="bullet"/>
      <w:lvlText w:val="o"/>
      <w:lvlJc w:val="left"/>
      <w:pPr>
        <w:ind w:left="2520" w:hanging="360"/>
      </w:pPr>
      <w:rPr>
        <w:rFonts w:ascii="Courier New" w:hAnsi="Courier New" w:hint="default"/>
      </w:rPr>
    </w:lvl>
    <w:lvl w:ilvl="2" w:tplc="A90CC680" w:tentative="1">
      <w:start w:val="1"/>
      <w:numFmt w:val="bullet"/>
      <w:lvlText w:val=""/>
      <w:lvlJc w:val="left"/>
      <w:pPr>
        <w:ind w:left="3240" w:hanging="360"/>
      </w:pPr>
      <w:rPr>
        <w:rFonts w:ascii="Wingdings" w:hAnsi="Wingdings" w:hint="default"/>
      </w:rPr>
    </w:lvl>
    <w:lvl w:ilvl="3" w:tplc="AC2E12AE" w:tentative="1">
      <w:start w:val="1"/>
      <w:numFmt w:val="bullet"/>
      <w:lvlText w:val=""/>
      <w:lvlJc w:val="left"/>
      <w:pPr>
        <w:ind w:left="3960" w:hanging="360"/>
      </w:pPr>
      <w:rPr>
        <w:rFonts w:ascii="Symbol" w:hAnsi="Symbol" w:hint="default"/>
      </w:rPr>
    </w:lvl>
    <w:lvl w:ilvl="4" w:tplc="1B5AC1F8" w:tentative="1">
      <w:start w:val="1"/>
      <w:numFmt w:val="bullet"/>
      <w:lvlText w:val="o"/>
      <w:lvlJc w:val="left"/>
      <w:pPr>
        <w:ind w:left="4680" w:hanging="360"/>
      </w:pPr>
      <w:rPr>
        <w:rFonts w:ascii="Courier New" w:hAnsi="Courier New" w:hint="default"/>
      </w:rPr>
    </w:lvl>
    <w:lvl w:ilvl="5" w:tplc="C194CD80" w:tentative="1">
      <w:start w:val="1"/>
      <w:numFmt w:val="bullet"/>
      <w:lvlText w:val=""/>
      <w:lvlJc w:val="left"/>
      <w:pPr>
        <w:ind w:left="5400" w:hanging="360"/>
      </w:pPr>
      <w:rPr>
        <w:rFonts w:ascii="Wingdings" w:hAnsi="Wingdings" w:hint="default"/>
      </w:rPr>
    </w:lvl>
    <w:lvl w:ilvl="6" w:tplc="340E5056" w:tentative="1">
      <w:start w:val="1"/>
      <w:numFmt w:val="bullet"/>
      <w:lvlText w:val=""/>
      <w:lvlJc w:val="left"/>
      <w:pPr>
        <w:ind w:left="6120" w:hanging="360"/>
      </w:pPr>
      <w:rPr>
        <w:rFonts w:ascii="Symbol" w:hAnsi="Symbol" w:hint="default"/>
      </w:rPr>
    </w:lvl>
    <w:lvl w:ilvl="7" w:tplc="606C66BA" w:tentative="1">
      <w:start w:val="1"/>
      <w:numFmt w:val="bullet"/>
      <w:lvlText w:val="o"/>
      <w:lvlJc w:val="left"/>
      <w:pPr>
        <w:ind w:left="6840" w:hanging="360"/>
      </w:pPr>
      <w:rPr>
        <w:rFonts w:ascii="Courier New" w:hAnsi="Courier New" w:hint="default"/>
      </w:rPr>
    </w:lvl>
    <w:lvl w:ilvl="8" w:tplc="6E10BAFC"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003C4A96">
      <w:start w:val="1"/>
      <w:numFmt w:val="bullet"/>
      <w:pStyle w:val="Bullet2"/>
      <w:lvlText w:val=""/>
      <w:lvlJc w:val="left"/>
      <w:pPr>
        <w:tabs>
          <w:tab w:val="num" w:pos="720"/>
        </w:tabs>
        <w:ind w:left="720" w:hanging="363"/>
      </w:pPr>
      <w:rPr>
        <w:rFonts w:ascii="Symbol" w:hAnsi="Symbol" w:hint="default"/>
      </w:rPr>
    </w:lvl>
    <w:lvl w:ilvl="1" w:tplc="B178D536">
      <w:start w:val="1"/>
      <w:numFmt w:val="bullet"/>
      <w:lvlText w:val="o"/>
      <w:lvlJc w:val="left"/>
      <w:pPr>
        <w:tabs>
          <w:tab w:val="num" w:pos="1440"/>
        </w:tabs>
        <w:ind w:left="1440" w:hanging="360"/>
      </w:pPr>
      <w:rPr>
        <w:rFonts w:ascii="Courier New" w:hAnsi="Courier New" w:hint="default"/>
      </w:rPr>
    </w:lvl>
    <w:lvl w:ilvl="2" w:tplc="323C6FB6">
      <w:start w:val="1"/>
      <w:numFmt w:val="bullet"/>
      <w:lvlText w:val=""/>
      <w:lvlJc w:val="left"/>
      <w:pPr>
        <w:tabs>
          <w:tab w:val="num" w:pos="2160"/>
        </w:tabs>
        <w:ind w:left="2160" w:hanging="360"/>
      </w:pPr>
      <w:rPr>
        <w:rFonts w:ascii="Wingdings" w:hAnsi="Wingdings" w:hint="default"/>
      </w:rPr>
    </w:lvl>
    <w:lvl w:ilvl="3" w:tplc="038A0802">
      <w:start w:val="1"/>
      <w:numFmt w:val="bullet"/>
      <w:lvlText w:val=""/>
      <w:lvlJc w:val="left"/>
      <w:pPr>
        <w:tabs>
          <w:tab w:val="num" w:pos="2880"/>
        </w:tabs>
        <w:ind w:left="2880" w:hanging="360"/>
      </w:pPr>
      <w:rPr>
        <w:rFonts w:ascii="Symbol" w:hAnsi="Symbol" w:hint="default"/>
      </w:rPr>
    </w:lvl>
    <w:lvl w:ilvl="4" w:tplc="B4747EFA">
      <w:start w:val="1"/>
      <w:numFmt w:val="bullet"/>
      <w:lvlText w:val="o"/>
      <w:lvlJc w:val="left"/>
      <w:pPr>
        <w:tabs>
          <w:tab w:val="num" w:pos="3600"/>
        </w:tabs>
        <w:ind w:left="3600" w:hanging="360"/>
      </w:pPr>
      <w:rPr>
        <w:rFonts w:ascii="Courier New" w:hAnsi="Courier New" w:hint="default"/>
      </w:rPr>
    </w:lvl>
    <w:lvl w:ilvl="5" w:tplc="DB027048">
      <w:start w:val="1"/>
      <w:numFmt w:val="bullet"/>
      <w:lvlText w:val=""/>
      <w:lvlJc w:val="left"/>
      <w:pPr>
        <w:tabs>
          <w:tab w:val="num" w:pos="4320"/>
        </w:tabs>
        <w:ind w:left="4320" w:hanging="360"/>
      </w:pPr>
      <w:rPr>
        <w:rFonts w:ascii="Wingdings" w:hAnsi="Wingdings" w:hint="default"/>
      </w:rPr>
    </w:lvl>
    <w:lvl w:ilvl="6" w:tplc="EDD0DFE6">
      <w:start w:val="1"/>
      <w:numFmt w:val="bullet"/>
      <w:lvlText w:val=""/>
      <w:lvlJc w:val="left"/>
      <w:pPr>
        <w:tabs>
          <w:tab w:val="num" w:pos="5040"/>
        </w:tabs>
        <w:ind w:left="5040" w:hanging="360"/>
      </w:pPr>
      <w:rPr>
        <w:rFonts w:ascii="Symbol" w:hAnsi="Symbol" w:hint="default"/>
      </w:rPr>
    </w:lvl>
    <w:lvl w:ilvl="7" w:tplc="347CC81E">
      <w:start w:val="1"/>
      <w:numFmt w:val="bullet"/>
      <w:lvlText w:val="o"/>
      <w:lvlJc w:val="left"/>
      <w:pPr>
        <w:tabs>
          <w:tab w:val="num" w:pos="5760"/>
        </w:tabs>
        <w:ind w:left="5760" w:hanging="360"/>
      </w:pPr>
      <w:rPr>
        <w:rFonts w:ascii="Courier New" w:hAnsi="Courier New" w:hint="default"/>
      </w:rPr>
    </w:lvl>
    <w:lvl w:ilvl="8" w:tplc="D83CFD2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813"/>
        </w:tabs>
        <w:ind w:left="81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5CF4435A"/>
    <w:multiLevelType w:val="hybridMultilevel"/>
    <w:tmpl w:val="F7507D7E"/>
    <w:lvl w:ilvl="0" w:tplc="03680846">
      <w:start w:val="1"/>
      <w:numFmt w:val="bullet"/>
      <w:pStyle w:val="Bullet4"/>
      <w:lvlText w:val=""/>
      <w:lvlJc w:val="left"/>
      <w:pPr>
        <w:tabs>
          <w:tab w:val="num" w:pos="1080"/>
        </w:tabs>
        <w:ind w:left="1078" w:hanging="358"/>
      </w:pPr>
      <w:rPr>
        <w:rFonts w:ascii="Symbol" w:hAnsi="Symbol" w:hint="default"/>
      </w:rPr>
    </w:lvl>
    <w:lvl w:ilvl="1" w:tplc="B686C9FA">
      <w:start w:val="1"/>
      <w:numFmt w:val="bullet"/>
      <w:lvlText w:val="o"/>
      <w:lvlJc w:val="left"/>
      <w:pPr>
        <w:tabs>
          <w:tab w:val="num" w:pos="1083"/>
        </w:tabs>
        <w:ind w:left="1083" w:hanging="360"/>
      </w:pPr>
      <w:rPr>
        <w:rFonts w:ascii="Courier New" w:hAnsi="Courier New" w:hint="default"/>
      </w:rPr>
    </w:lvl>
    <w:lvl w:ilvl="2" w:tplc="0E2AAFF2">
      <w:start w:val="1"/>
      <w:numFmt w:val="bullet"/>
      <w:lvlText w:val=""/>
      <w:lvlJc w:val="left"/>
      <w:pPr>
        <w:tabs>
          <w:tab w:val="num" w:pos="1803"/>
        </w:tabs>
        <w:ind w:left="1803" w:hanging="360"/>
      </w:pPr>
      <w:rPr>
        <w:rFonts w:ascii="Wingdings" w:hAnsi="Wingdings" w:hint="default"/>
      </w:rPr>
    </w:lvl>
    <w:lvl w:ilvl="3" w:tplc="88603158">
      <w:start w:val="1"/>
      <w:numFmt w:val="bullet"/>
      <w:lvlText w:val=""/>
      <w:lvlJc w:val="left"/>
      <w:pPr>
        <w:tabs>
          <w:tab w:val="num" w:pos="2523"/>
        </w:tabs>
        <w:ind w:left="2523" w:hanging="360"/>
      </w:pPr>
      <w:rPr>
        <w:rFonts w:ascii="Symbol" w:hAnsi="Symbol" w:hint="default"/>
      </w:rPr>
    </w:lvl>
    <w:lvl w:ilvl="4" w:tplc="8DE05B3C">
      <w:start w:val="1"/>
      <w:numFmt w:val="bullet"/>
      <w:lvlText w:val="o"/>
      <w:lvlJc w:val="left"/>
      <w:pPr>
        <w:tabs>
          <w:tab w:val="num" w:pos="3243"/>
        </w:tabs>
        <w:ind w:left="3243" w:hanging="360"/>
      </w:pPr>
      <w:rPr>
        <w:rFonts w:ascii="Courier New" w:hAnsi="Courier New" w:hint="default"/>
      </w:rPr>
    </w:lvl>
    <w:lvl w:ilvl="5" w:tplc="9F28297C">
      <w:start w:val="1"/>
      <w:numFmt w:val="bullet"/>
      <w:lvlText w:val=""/>
      <w:lvlJc w:val="left"/>
      <w:pPr>
        <w:tabs>
          <w:tab w:val="num" w:pos="3963"/>
        </w:tabs>
        <w:ind w:left="3963" w:hanging="360"/>
      </w:pPr>
      <w:rPr>
        <w:rFonts w:ascii="Wingdings" w:hAnsi="Wingdings" w:hint="default"/>
      </w:rPr>
    </w:lvl>
    <w:lvl w:ilvl="6" w:tplc="F06862C4">
      <w:start w:val="1"/>
      <w:numFmt w:val="bullet"/>
      <w:lvlText w:val=""/>
      <w:lvlJc w:val="left"/>
      <w:pPr>
        <w:tabs>
          <w:tab w:val="num" w:pos="4683"/>
        </w:tabs>
        <w:ind w:left="4683" w:hanging="360"/>
      </w:pPr>
      <w:rPr>
        <w:rFonts w:ascii="Symbol" w:hAnsi="Symbol" w:hint="default"/>
      </w:rPr>
    </w:lvl>
    <w:lvl w:ilvl="7" w:tplc="97C8607C">
      <w:start w:val="1"/>
      <w:numFmt w:val="bullet"/>
      <w:lvlText w:val="o"/>
      <w:lvlJc w:val="left"/>
      <w:pPr>
        <w:tabs>
          <w:tab w:val="num" w:pos="5403"/>
        </w:tabs>
        <w:ind w:left="5403" w:hanging="360"/>
      </w:pPr>
      <w:rPr>
        <w:rFonts w:ascii="Courier New" w:hAnsi="Courier New" w:hint="default"/>
      </w:rPr>
    </w:lvl>
    <w:lvl w:ilvl="8" w:tplc="F238ED28">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D706D6A"/>
    <w:multiLevelType w:val="hybridMultilevel"/>
    <w:tmpl w:val="D3AA996A"/>
    <w:lvl w:ilvl="0" w:tplc="7EE4548C">
      <w:start w:val="1"/>
      <w:numFmt w:val="bullet"/>
      <w:pStyle w:val="Bullet3"/>
      <w:lvlText w:val=""/>
      <w:lvlJc w:val="left"/>
      <w:pPr>
        <w:tabs>
          <w:tab w:val="num" w:pos="1800"/>
        </w:tabs>
        <w:ind w:left="1797" w:hanging="357"/>
      </w:pPr>
      <w:rPr>
        <w:rFonts w:ascii="Symbol" w:hAnsi="Symbol" w:hint="default"/>
      </w:rPr>
    </w:lvl>
    <w:lvl w:ilvl="1" w:tplc="D898E670">
      <w:start w:val="1"/>
      <w:numFmt w:val="bullet"/>
      <w:lvlText w:val="o"/>
      <w:lvlJc w:val="left"/>
      <w:pPr>
        <w:tabs>
          <w:tab w:val="num" w:pos="2160"/>
        </w:tabs>
        <w:ind w:left="2160" w:hanging="360"/>
      </w:pPr>
      <w:rPr>
        <w:rFonts w:ascii="Courier New" w:hAnsi="Courier New" w:hint="default"/>
      </w:rPr>
    </w:lvl>
    <w:lvl w:ilvl="2" w:tplc="E7320A24">
      <w:start w:val="1"/>
      <w:numFmt w:val="bullet"/>
      <w:lvlText w:val=""/>
      <w:lvlJc w:val="left"/>
      <w:pPr>
        <w:tabs>
          <w:tab w:val="num" w:pos="2880"/>
        </w:tabs>
        <w:ind w:left="2880" w:hanging="360"/>
      </w:pPr>
      <w:rPr>
        <w:rFonts w:ascii="Wingdings" w:hAnsi="Wingdings" w:hint="default"/>
      </w:rPr>
    </w:lvl>
    <w:lvl w:ilvl="3" w:tplc="89364F14">
      <w:start w:val="1"/>
      <w:numFmt w:val="bullet"/>
      <w:lvlText w:val=""/>
      <w:lvlJc w:val="left"/>
      <w:pPr>
        <w:tabs>
          <w:tab w:val="num" w:pos="3600"/>
        </w:tabs>
        <w:ind w:left="3600" w:hanging="360"/>
      </w:pPr>
      <w:rPr>
        <w:rFonts w:ascii="Symbol" w:hAnsi="Symbol" w:hint="default"/>
      </w:rPr>
    </w:lvl>
    <w:lvl w:ilvl="4" w:tplc="2B000ABC">
      <w:start w:val="1"/>
      <w:numFmt w:val="bullet"/>
      <w:lvlText w:val="o"/>
      <w:lvlJc w:val="left"/>
      <w:pPr>
        <w:tabs>
          <w:tab w:val="num" w:pos="4320"/>
        </w:tabs>
        <w:ind w:left="4320" w:hanging="360"/>
      </w:pPr>
      <w:rPr>
        <w:rFonts w:ascii="Courier New" w:hAnsi="Courier New" w:hint="default"/>
      </w:rPr>
    </w:lvl>
    <w:lvl w:ilvl="5" w:tplc="0F50E256">
      <w:start w:val="1"/>
      <w:numFmt w:val="bullet"/>
      <w:lvlText w:val=""/>
      <w:lvlJc w:val="left"/>
      <w:pPr>
        <w:tabs>
          <w:tab w:val="num" w:pos="5040"/>
        </w:tabs>
        <w:ind w:left="5040" w:hanging="360"/>
      </w:pPr>
      <w:rPr>
        <w:rFonts w:ascii="Wingdings" w:hAnsi="Wingdings" w:hint="default"/>
      </w:rPr>
    </w:lvl>
    <w:lvl w:ilvl="6" w:tplc="A9C46A26">
      <w:start w:val="1"/>
      <w:numFmt w:val="bullet"/>
      <w:lvlText w:val=""/>
      <w:lvlJc w:val="left"/>
      <w:pPr>
        <w:tabs>
          <w:tab w:val="num" w:pos="5760"/>
        </w:tabs>
        <w:ind w:left="5760" w:hanging="360"/>
      </w:pPr>
      <w:rPr>
        <w:rFonts w:ascii="Symbol" w:hAnsi="Symbol" w:hint="default"/>
      </w:rPr>
    </w:lvl>
    <w:lvl w:ilvl="7" w:tplc="A0624230">
      <w:start w:val="1"/>
      <w:numFmt w:val="bullet"/>
      <w:lvlText w:val="o"/>
      <w:lvlJc w:val="left"/>
      <w:pPr>
        <w:tabs>
          <w:tab w:val="num" w:pos="6480"/>
        </w:tabs>
        <w:ind w:left="6480" w:hanging="360"/>
      </w:pPr>
      <w:rPr>
        <w:rFonts w:ascii="Courier New" w:hAnsi="Courier New" w:hint="default"/>
      </w:rPr>
    </w:lvl>
    <w:lvl w:ilvl="8" w:tplc="75A0FE56">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2C692F"/>
    <w:multiLevelType w:val="hybridMultilevel"/>
    <w:tmpl w:val="5144F806"/>
    <w:lvl w:ilvl="0" w:tplc="5E80C8D2">
      <w:start w:val="1"/>
      <w:numFmt w:val="bullet"/>
      <w:pStyle w:val="Bullet5"/>
      <w:lvlText w:val=""/>
      <w:lvlJc w:val="left"/>
      <w:pPr>
        <w:tabs>
          <w:tab w:val="num" w:pos="1795"/>
        </w:tabs>
        <w:ind w:left="1792" w:hanging="357"/>
      </w:pPr>
      <w:rPr>
        <w:rFonts w:ascii="Symbol" w:hAnsi="Symbol" w:hint="default"/>
      </w:rPr>
    </w:lvl>
    <w:lvl w:ilvl="1" w:tplc="B1D0202A">
      <w:start w:val="1"/>
      <w:numFmt w:val="bullet"/>
      <w:lvlText w:val="o"/>
      <w:lvlJc w:val="left"/>
      <w:pPr>
        <w:tabs>
          <w:tab w:val="num" w:pos="1440"/>
        </w:tabs>
        <w:ind w:left="1440" w:hanging="360"/>
      </w:pPr>
      <w:rPr>
        <w:rFonts w:ascii="Courier New" w:hAnsi="Courier New" w:hint="default"/>
      </w:rPr>
    </w:lvl>
    <w:lvl w:ilvl="2" w:tplc="619AA652">
      <w:start w:val="1"/>
      <w:numFmt w:val="bullet"/>
      <w:lvlText w:val=""/>
      <w:lvlJc w:val="left"/>
      <w:pPr>
        <w:tabs>
          <w:tab w:val="num" w:pos="2160"/>
        </w:tabs>
        <w:ind w:left="2160" w:hanging="360"/>
      </w:pPr>
      <w:rPr>
        <w:rFonts w:ascii="Wingdings" w:hAnsi="Wingdings" w:hint="default"/>
      </w:rPr>
    </w:lvl>
    <w:lvl w:ilvl="3" w:tplc="28048B6C">
      <w:start w:val="1"/>
      <w:numFmt w:val="bullet"/>
      <w:lvlText w:val=""/>
      <w:lvlJc w:val="left"/>
      <w:pPr>
        <w:tabs>
          <w:tab w:val="num" w:pos="2880"/>
        </w:tabs>
        <w:ind w:left="2880" w:hanging="360"/>
      </w:pPr>
      <w:rPr>
        <w:rFonts w:ascii="Symbol" w:hAnsi="Symbol" w:hint="default"/>
      </w:rPr>
    </w:lvl>
    <w:lvl w:ilvl="4" w:tplc="4364B6D0">
      <w:start w:val="1"/>
      <w:numFmt w:val="bullet"/>
      <w:lvlText w:val="o"/>
      <w:lvlJc w:val="left"/>
      <w:pPr>
        <w:tabs>
          <w:tab w:val="num" w:pos="3600"/>
        </w:tabs>
        <w:ind w:left="3600" w:hanging="360"/>
      </w:pPr>
      <w:rPr>
        <w:rFonts w:ascii="Courier New" w:hAnsi="Courier New" w:hint="default"/>
      </w:rPr>
    </w:lvl>
    <w:lvl w:ilvl="5" w:tplc="CED2E63A">
      <w:start w:val="1"/>
      <w:numFmt w:val="bullet"/>
      <w:lvlText w:val=""/>
      <w:lvlJc w:val="left"/>
      <w:pPr>
        <w:tabs>
          <w:tab w:val="num" w:pos="4320"/>
        </w:tabs>
        <w:ind w:left="4320" w:hanging="360"/>
      </w:pPr>
      <w:rPr>
        <w:rFonts w:ascii="Wingdings" w:hAnsi="Wingdings" w:hint="default"/>
      </w:rPr>
    </w:lvl>
    <w:lvl w:ilvl="6" w:tplc="C2109BAE">
      <w:start w:val="1"/>
      <w:numFmt w:val="bullet"/>
      <w:lvlText w:val=""/>
      <w:lvlJc w:val="left"/>
      <w:pPr>
        <w:tabs>
          <w:tab w:val="num" w:pos="5040"/>
        </w:tabs>
        <w:ind w:left="5040" w:hanging="360"/>
      </w:pPr>
      <w:rPr>
        <w:rFonts w:ascii="Symbol" w:hAnsi="Symbol" w:hint="default"/>
      </w:rPr>
    </w:lvl>
    <w:lvl w:ilvl="7" w:tplc="0A1C3552">
      <w:start w:val="1"/>
      <w:numFmt w:val="bullet"/>
      <w:lvlText w:val="o"/>
      <w:lvlJc w:val="left"/>
      <w:pPr>
        <w:tabs>
          <w:tab w:val="num" w:pos="5760"/>
        </w:tabs>
        <w:ind w:left="5760" w:hanging="360"/>
      </w:pPr>
      <w:rPr>
        <w:rFonts w:ascii="Courier New" w:hAnsi="Courier New" w:hint="default"/>
      </w:rPr>
    </w:lvl>
    <w:lvl w:ilvl="8" w:tplc="E13C5C6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B5D14"/>
    <w:multiLevelType w:val="hybridMultilevel"/>
    <w:tmpl w:val="948EA042"/>
    <w:lvl w:ilvl="0" w:tplc="3CFA9C24">
      <w:start w:val="1"/>
      <w:numFmt w:val="bullet"/>
      <w:pStyle w:val="Bullet6"/>
      <w:lvlText w:val=""/>
      <w:lvlJc w:val="left"/>
      <w:pPr>
        <w:tabs>
          <w:tab w:val="num" w:pos="2152"/>
        </w:tabs>
        <w:ind w:left="2149" w:hanging="357"/>
      </w:pPr>
      <w:rPr>
        <w:rFonts w:ascii="Symbol" w:hAnsi="Symbol" w:hint="default"/>
      </w:rPr>
    </w:lvl>
    <w:lvl w:ilvl="1" w:tplc="AA480CCC">
      <w:start w:val="1"/>
      <w:numFmt w:val="bullet"/>
      <w:lvlText w:val="o"/>
      <w:lvlJc w:val="left"/>
      <w:pPr>
        <w:tabs>
          <w:tab w:val="num" w:pos="1440"/>
        </w:tabs>
        <w:ind w:left="1440" w:hanging="360"/>
      </w:pPr>
      <w:rPr>
        <w:rFonts w:ascii="Courier New" w:hAnsi="Courier New" w:hint="default"/>
      </w:rPr>
    </w:lvl>
    <w:lvl w:ilvl="2" w:tplc="32705E38">
      <w:start w:val="1"/>
      <w:numFmt w:val="bullet"/>
      <w:lvlText w:val=""/>
      <w:lvlJc w:val="left"/>
      <w:pPr>
        <w:tabs>
          <w:tab w:val="num" w:pos="2160"/>
        </w:tabs>
        <w:ind w:left="2160" w:hanging="360"/>
      </w:pPr>
      <w:rPr>
        <w:rFonts w:ascii="Wingdings" w:hAnsi="Wingdings" w:hint="default"/>
      </w:rPr>
    </w:lvl>
    <w:lvl w:ilvl="3" w:tplc="F044FCD6">
      <w:start w:val="1"/>
      <w:numFmt w:val="bullet"/>
      <w:lvlText w:val=""/>
      <w:lvlJc w:val="left"/>
      <w:pPr>
        <w:tabs>
          <w:tab w:val="num" w:pos="2880"/>
        </w:tabs>
        <w:ind w:left="2880" w:hanging="360"/>
      </w:pPr>
      <w:rPr>
        <w:rFonts w:ascii="Symbol" w:hAnsi="Symbol" w:hint="default"/>
      </w:rPr>
    </w:lvl>
    <w:lvl w:ilvl="4" w:tplc="46EEA6D4">
      <w:start w:val="1"/>
      <w:numFmt w:val="bullet"/>
      <w:lvlText w:val="o"/>
      <w:lvlJc w:val="left"/>
      <w:pPr>
        <w:tabs>
          <w:tab w:val="num" w:pos="3600"/>
        </w:tabs>
        <w:ind w:left="3600" w:hanging="360"/>
      </w:pPr>
      <w:rPr>
        <w:rFonts w:ascii="Courier New" w:hAnsi="Courier New" w:hint="default"/>
      </w:rPr>
    </w:lvl>
    <w:lvl w:ilvl="5" w:tplc="BB760D2A">
      <w:start w:val="1"/>
      <w:numFmt w:val="bullet"/>
      <w:lvlText w:val=""/>
      <w:lvlJc w:val="left"/>
      <w:pPr>
        <w:tabs>
          <w:tab w:val="num" w:pos="4320"/>
        </w:tabs>
        <w:ind w:left="4320" w:hanging="360"/>
      </w:pPr>
      <w:rPr>
        <w:rFonts w:ascii="Wingdings" w:hAnsi="Wingdings" w:hint="default"/>
      </w:rPr>
    </w:lvl>
    <w:lvl w:ilvl="6" w:tplc="502053D0">
      <w:start w:val="1"/>
      <w:numFmt w:val="bullet"/>
      <w:lvlText w:val=""/>
      <w:lvlJc w:val="left"/>
      <w:pPr>
        <w:tabs>
          <w:tab w:val="num" w:pos="5040"/>
        </w:tabs>
        <w:ind w:left="5040" w:hanging="360"/>
      </w:pPr>
      <w:rPr>
        <w:rFonts w:ascii="Symbol" w:hAnsi="Symbol" w:hint="default"/>
      </w:rPr>
    </w:lvl>
    <w:lvl w:ilvl="7" w:tplc="CC08F0A2">
      <w:start w:val="1"/>
      <w:numFmt w:val="bullet"/>
      <w:lvlText w:val="o"/>
      <w:lvlJc w:val="left"/>
      <w:pPr>
        <w:tabs>
          <w:tab w:val="num" w:pos="5760"/>
        </w:tabs>
        <w:ind w:left="5760" w:hanging="360"/>
      </w:pPr>
      <w:rPr>
        <w:rFonts w:ascii="Courier New" w:hAnsi="Courier New" w:hint="default"/>
      </w:rPr>
    </w:lvl>
    <w:lvl w:ilvl="8" w:tplc="FE327E8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2B"/>
    <w:rsid w:val="000000CA"/>
    <w:rsid w:val="00001117"/>
    <w:rsid w:val="000052DF"/>
    <w:rsid w:val="000074CF"/>
    <w:rsid w:val="000076DC"/>
    <w:rsid w:val="00010D39"/>
    <w:rsid w:val="00010FDD"/>
    <w:rsid w:val="0001580F"/>
    <w:rsid w:val="00017975"/>
    <w:rsid w:val="00017D9D"/>
    <w:rsid w:val="00020E2D"/>
    <w:rsid w:val="00022F68"/>
    <w:rsid w:val="00023E0C"/>
    <w:rsid w:val="00027401"/>
    <w:rsid w:val="00030B07"/>
    <w:rsid w:val="00031E25"/>
    <w:rsid w:val="00032308"/>
    <w:rsid w:val="000349B2"/>
    <w:rsid w:val="00045905"/>
    <w:rsid w:val="00045C9A"/>
    <w:rsid w:val="00046558"/>
    <w:rsid w:val="00047592"/>
    <w:rsid w:val="00052198"/>
    <w:rsid w:val="00052331"/>
    <w:rsid w:val="00056DA8"/>
    <w:rsid w:val="0006009D"/>
    <w:rsid w:val="00060D70"/>
    <w:rsid w:val="00061E89"/>
    <w:rsid w:val="00063B46"/>
    <w:rsid w:val="000660D6"/>
    <w:rsid w:val="00070E4B"/>
    <w:rsid w:val="000722DD"/>
    <w:rsid w:val="000735E0"/>
    <w:rsid w:val="000807D9"/>
    <w:rsid w:val="0008150F"/>
    <w:rsid w:val="00086C54"/>
    <w:rsid w:val="000905EF"/>
    <w:rsid w:val="00091565"/>
    <w:rsid w:val="00091750"/>
    <w:rsid w:val="00093E38"/>
    <w:rsid w:val="0009416F"/>
    <w:rsid w:val="000A62F1"/>
    <w:rsid w:val="000B216E"/>
    <w:rsid w:val="000B3668"/>
    <w:rsid w:val="000B46B6"/>
    <w:rsid w:val="000B49F7"/>
    <w:rsid w:val="000B56EF"/>
    <w:rsid w:val="000C02E6"/>
    <w:rsid w:val="000C1082"/>
    <w:rsid w:val="000C46D9"/>
    <w:rsid w:val="000C49E3"/>
    <w:rsid w:val="000C5BEA"/>
    <w:rsid w:val="000C7E16"/>
    <w:rsid w:val="000D21E7"/>
    <w:rsid w:val="000D57A3"/>
    <w:rsid w:val="000D704B"/>
    <w:rsid w:val="000D7699"/>
    <w:rsid w:val="000E0F9C"/>
    <w:rsid w:val="000E14F4"/>
    <w:rsid w:val="000E2C40"/>
    <w:rsid w:val="000E6AA8"/>
    <w:rsid w:val="000F05BB"/>
    <w:rsid w:val="000F0664"/>
    <w:rsid w:val="000F0955"/>
    <w:rsid w:val="000F0D56"/>
    <w:rsid w:val="000F1A07"/>
    <w:rsid w:val="0010256E"/>
    <w:rsid w:val="00102CA5"/>
    <w:rsid w:val="00103021"/>
    <w:rsid w:val="00103464"/>
    <w:rsid w:val="00103DCB"/>
    <w:rsid w:val="0010417B"/>
    <w:rsid w:val="00104D31"/>
    <w:rsid w:val="001051F7"/>
    <w:rsid w:val="00106B65"/>
    <w:rsid w:val="0011146F"/>
    <w:rsid w:val="00111754"/>
    <w:rsid w:val="001128F1"/>
    <w:rsid w:val="001140E1"/>
    <w:rsid w:val="001142D7"/>
    <w:rsid w:val="00114F90"/>
    <w:rsid w:val="0011570B"/>
    <w:rsid w:val="00121795"/>
    <w:rsid w:val="0012421A"/>
    <w:rsid w:val="00126816"/>
    <w:rsid w:val="00140DF2"/>
    <w:rsid w:val="00141C55"/>
    <w:rsid w:val="00145B56"/>
    <w:rsid w:val="001473A8"/>
    <w:rsid w:val="001507E3"/>
    <w:rsid w:val="00151392"/>
    <w:rsid w:val="00154EE4"/>
    <w:rsid w:val="001606CE"/>
    <w:rsid w:val="00161374"/>
    <w:rsid w:val="00161834"/>
    <w:rsid w:val="00163DB0"/>
    <w:rsid w:val="00166064"/>
    <w:rsid w:val="00166929"/>
    <w:rsid w:val="00170ACB"/>
    <w:rsid w:val="001724EF"/>
    <w:rsid w:val="00176338"/>
    <w:rsid w:val="0017765C"/>
    <w:rsid w:val="0018207A"/>
    <w:rsid w:val="00183AFE"/>
    <w:rsid w:val="00183C78"/>
    <w:rsid w:val="0018426A"/>
    <w:rsid w:val="001852C8"/>
    <w:rsid w:val="00190EF1"/>
    <w:rsid w:val="00192FCE"/>
    <w:rsid w:val="00195D67"/>
    <w:rsid w:val="001A08F8"/>
    <w:rsid w:val="001A0FAD"/>
    <w:rsid w:val="001A2213"/>
    <w:rsid w:val="001B209F"/>
    <w:rsid w:val="001B3A68"/>
    <w:rsid w:val="001C02A1"/>
    <w:rsid w:val="001C0B93"/>
    <w:rsid w:val="001C13BA"/>
    <w:rsid w:val="001C1BAA"/>
    <w:rsid w:val="001C2FDB"/>
    <w:rsid w:val="001D1F68"/>
    <w:rsid w:val="001D4376"/>
    <w:rsid w:val="001D5E46"/>
    <w:rsid w:val="001D61E0"/>
    <w:rsid w:val="001E030A"/>
    <w:rsid w:val="001F0CE0"/>
    <w:rsid w:val="001F15FB"/>
    <w:rsid w:val="001F30A7"/>
    <w:rsid w:val="002017BB"/>
    <w:rsid w:val="00204B55"/>
    <w:rsid w:val="00207E25"/>
    <w:rsid w:val="0021272C"/>
    <w:rsid w:val="0021403E"/>
    <w:rsid w:val="00217369"/>
    <w:rsid w:val="00217837"/>
    <w:rsid w:val="0022127D"/>
    <w:rsid w:val="0022191E"/>
    <w:rsid w:val="00222A25"/>
    <w:rsid w:val="00222AFC"/>
    <w:rsid w:val="002250B1"/>
    <w:rsid w:val="002302EC"/>
    <w:rsid w:val="002304AC"/>
    <w:rsid w:val="002308BC"/>
    <w:rsid w:val="00231607"/>
    <w:rsid w:val="002317DE"/>
    <w:rsid w:val="00231D26"/>
    <w:rsid w:val="00231F03"/>
    <w:rsid w:val="002336BA"/>
    <w:rsid w:val="00233ABE"/>
    <w:rsid w:val="00233AF8"/>
    <w:rsid w:val="00240122"/>
    <w:rsid w:val="00244BB6"/>
    <w:rsid w:val="00245370"/>
    <w:rsid w:val="00245690"/>
    <w:rsid w:val="00245A67"/>
    <w:rsid w:val="0024632C"/>
    <w:rsid w:val="00250922"/>
    <w:rsid w:val="00250C11"/>
    <w:rsid w:val="00250FC4"/>
    <w:rsid w:val="00265CB1"/>
    <w:rsid w:val="00272EDA"/>
    <w:rsid w:val="0027300A"/>
    <w:rsid w:val="00280182"/>
    <w:rsid w:val="00280A48"/>
    <w:rsid w:val="00281D12"/>
    <w:rsid w:val="00284B6F"/>
    <w:rsid w:val="00286F02"/>
    <w:rsid w:val="002877DC"/>
    <w:rsid w:val="002917D4"/>
    <w:rsid w:val="002924F3"/>
    <w:rsid w:val="00294947"/>
    <w:rsid w:val="00294B37"/>
    <w:rsid w:val="002960F8"/>
    <w:rsid w:val="002A1BA5"/>
    <w:rsid w:val="002A3965"/>
    <w:rsid w:val="002A3EB1"/>
    <w:rsid w:val="002A48D4"/>
    <w:rsid w:val="002A494A"/>
    <w:rsid w:val="002A58C3"/>
    <w:rsid w:val="002B1A39"/>
    <w:rsid w:val="002B1C3C"/>
    <w:rsid w:val="002B5D8B"/>
    <w:rsid w:val="002B6927"/>
    <w:rsid w:val="002B7850"/>
    <w:rsid w:val="002B7AB9"/>
    <w:rsid w:val="002C3883"/>
    <w:rsid w:val="002C78CE"/>
    <w:rsid w:val="002D1A8A"/>
    <w:rsid w:val="002D59F4"/>
    <w:rsid w:val="002D6E49"/>
    <w:rsid w:val="002D7B13"/>
    <w:rsid w:val="002E2EB2"/>
    <w:rsid w:val="002E612E"/>
    <w:rsid w:val="002E672E"/>
    <w:rsid w:val="002E7CC5"/>
    <w:rsid w:val="002F052A"/>
    <w:rsid w:val="003005F3"/>
    <w:rsid w:val="00302B7D"/>
    <w:rsid w:val="003036BF"/>
    <w:rsid w:val="00305284"/>
    <w:rsid w:val="00306CCB"/>
    <w:rsid w:val="00307948"/>
    <w:rsid w:val="00311700"/>
    <w:rsid w:val="00313679"/>
    <w:rsid w:val="00315C8C"/>
    <w:rsid w:val="003202D1"/>
    <w:rsid w:val="0032258A"/>
    <w:rsid w:val="00323240"/>
    <w:rsid w:val="00327DA8"/>
    <w:rsid w:val="00327FA9"/>
    <w:rsid w:val="00330810"/>
    <w:rsid w:val="00333102"/>
    <w:rsid w:val="00333313"/>
    <w:rsid w:val="00334264"/>
    <w:rsid w:val="00334578"/>
    <w:rsid w:val="003360A4"/>
    <w:rsid w:val="003375F7"/>
    <w:rsid w:val="00347F7D"/>
    <w:rsid w:val="00350057"/>
    <w:rsid w:val="00350BB3"/>
    <w:rsid w:val="00352FCD"/>
    <w:rsid w:val="003567DA"/>
    <w:rsid w:val="003603D9"/>
    <w:rsid w:val="00361626"/>
    <w:rsid w:val="00361E26"/>
    <w:rsid w:val="003648C6"/>
    <w:rsid w:val="00365640"/>
    <w:rsid w:val="00365A72"/>
    <w:rsid w:val="00366BFF"/>
    <w:rsid w:val="0037013B"/>
    <w:rsid w:val="00381300"/>
    <w:rsid w:val="00382A4C"/>
    <w:rsid w:val="003845AA"/>
    <w:rsid w:val="003854C2"/>
    <w:rsid w:val="003868ED"/>
    <w:rsid w:val="00390B57"/>
    <w:rsid w:val="00392C49"/>
    <w:rsid w:val="00392D9A"/>
    <w:rsid w:val="0039463A"/>
    <w:rsid w:val="003968F5"/>
    <w:rsid w:val="003A0255"/>
    <w:rsid w:val="003A1874"/>
    <w:rsid w:val="003A2A35"/>
    <w:rsid w:val="003A3C88"/>
    <w:rsid w:val="003A4315"/>
    <w:rsid w:val="003A7AF2"/>
    <w:rsid w:val="003A7FCD"/>
    <w:rsid w:val="003B6171"/>
    <w:rsid w:val="003B63BB"/>
    <w:rsid w:val="003B6BC8"/>
    <w:rsid w:val="003C4907"/>
    <w:rsid w:val="003C6A93"/>
    <w:rsid w:val="003C6D87"/>
    <w:rsid w:val="003D3BB9"/>
    <w:rsid w:val="003D641D"/>
    <w:rsid w:val="003E48D5"/>
    <w:rsid w:val="003E56A7"/>
    <w:rsid w:val="003E5D63"/>
    <w:rsid w:val="003E7583"/>
    <w:rsid w:val="003E7B3F"/>
    <w:rsid w:val="003F0C02"/>
    <w:rsid w:val="003F2225"/>
    <w:rsid w:val="003F344D"/>
    <w:rsid w:val="003F416E"/>
    <w:rsid w:val="003F43FB"/>
    <w:rsid w:val="003F6388"/>
    <w:rsid w:val="003F6886"/>
    <w:rsid w:val="004025A2"/>
    <w:rsid w:val="00402F79"/>
    <w:rsid w:val="00403033"/>
    <w:rsid w:val="004034E2"/>
    <w:rsid w:val="00404E62"/>
    <w:rsid w:val="00405CCB"/>
    <w:rsid w:val="00405EDF"/>
    <w:rsid w:val="00406BF7"/>
    <w:rsid w:val="00413358"/>
    <w:rsid w:val="0041336D"/>
    <w:rsid w:val="0041400D"/>
    <w:rsid w:val="004149B8"/>
    <w:rsid w:val="004151E1"/>
    <w:rsid w:val="004157F7"/>
    <w:rsid w:val="004163D3"/>
    <w:rsid w:val="004166C9"/>
    <w:rsid w:val="00420812"/>
    <w:rsid w:val="00423740"/>
    <w:rsid w:val="00425BF2"/>
    <w:rsid w:val="00430E5A"/>
    <w:rsid w:val="00431D2B"/>
    <w:rsid w:val="00434A33"/>
    <w:rsid w:val="00435CD7"/>
    <w:rsid w:val="00436770"/>
    <w:rsid w:val="0044204E"/>
    <w:rsid w:val="00442AB9"/>
    <w:rsid w:val="0044674D"/>
    <w:rsid w:val="00450BBB"/>
    <w:rsid w:val="00452E0B"/>
    <w:rsid w:val="00456CB1"/>
    <w:rsid w:val="004603E1"/>
    <w:rsid w:val="0046185D"/>
    <w:rsid w:val="00461FE2"/>
    <w:rsid w:val="0046420D"/>
    <w:rsid w:val="004643A2"/>
    <w:rsid w:val="00464F9B"/>
    <w:rsid w:val="00465345"/>
    <w:rsid w:val="00466A1C"/>
    <w:rsid w:val="00466F1B"/>
    <w:rsid w:val="00471475"/>
    <w:rsid w:val="00474A6B"/>
    <w:rsid w:val="00474F93"/>
    <w:rsid w:val="00477703"/>
    <w:rsid w:val="004859B0"/>
    <w:rsid w:val="004914ED"/>
    <w:rsid w:val="00493D55"/>
    <w:rsid w:val="004949AF"/>
    <w:rsid w:val="00495061"/>
    <w:rsid w:val="004977F5"/>
    <w:rsid w:val="004A2CF2"/>
    <w:rsid w:val="004A4A1C"/>
    <w:rsid w:val="004A52BA"/>
    <w:rsid w:val="004A6FF6"/>
    <w:rsid w:val="004B106D"/>
    <w:rsid w:val="004B49DA"/>
    <w:rsid w:val="004B52CA"/>
    <w:rsid w:val="004B581B"/>
    <w:rsid w:val="004B5CF9"/>
    <w:rsid w:val="004B7989"/>
    <w:rsid w:val="004C11E2"/>
    <w:rsid w:val="004C2CF0"/>
    <w:rsid w:val="004C3439"/>
    <w:rsid w:val="004C56B0"/>
    <w:rsid w:val="004C68D5"/>
    <w:rsid w:val="004C7BCE"/>
    <w:rsid w:val="004D1301"/>
    <w:rsid w:val="004D27D7"/>
    <w:rsid w:val="004D2CB3"/>
    <w:rsid w:val="004D7172"/>
    <w:rsid w:val="004E098F"/>
    <w:rsid w:val="004E20FF"/>
    <w:rsid w:val="004E4344"/>
    <w:rsid w:val="004E5FE8"/>
    <w:rsid w:val="004E67D7"/>
    <w:rsid w:val="004F0094"/>
    <w:rsid w:val="004F17CF"/>
    <w:rsid w:val="0050174A"/>
    <w:rsid w:val="00502601"/>
    <w:rsid w:val="00503395"/>
    <w:rsid w:val="005052A1"/>
    <w:rsid w:val="00511D22"/>
    <w:rsid w:val="005134A0"/>
    <w:rsid w:val="005154B6"/>
    <w:rsid w:val="00517446"/>
    <w:rsid w:val="0052537D"/>
    <w:rsid w:val="00525BB0"/>
    <w:rsid w:val="005317DA"/>
    <w:rsid w:val="00533FF9"/>
    <w:rsid w:val="005340EB"/>
    <w:rsid w:val="0053458A"/>
    <w:rsid w:val="005348A3"/>
    <w:rsid w:val="00536346"/>
    <w:rsid w:val="00536A80"/>
    <w:rsid w:val="00537858"/>
    <w:rsid w:val="00537C1D"/>
    <w:rsid w:val="00540E5E"/>
    <w:rsid w:val="005420EA"/>
    <w:rsid w:val="005432D2"/>
    <w:rsid w:val="0054523E"/>
    <w:rsid w:val="005470F1"/>
    <w:rsid w:val="00547504"/>
    <w:rsid w:val="0054764C"/>
    <w:rsid w:val="005529D5"/>
    <w:rsid w:val="005540F8"/>
    <w:rsid w:val="0055473B"/>
    <w:rsid w:val="005604D9"/>
    <w:rsid w:val="00562F56"/>
    <w:rsid w:val="00563FC1"/>
    <w:rsid w:val="005641C0"/>
    <w:rsid w:val="00564EB8"/>
    <w:rsid w:val="00565E09"/>
    <w:rsid w:val="00566254"/>
    <w:rsid w:val="005662A7"/>
    <w:rsid w:val="00566D14"/>
    <w:rsid w:val="00570A50"/>
    <w:rsid w:val="00570AC0"/>
    <w:rsid w:val="00570E2B"/>
    <w:rsid w:val="00571048"/>
    <w:rsid w:val="0057114A"/>
    <w:rsid w:val="005735CC"/>
    <w:rsid w:val="00573652"/>
    <w:rsid w:val="00576467"/>
    <w:rsid w:val="0058484E"/>
    <w:rsid w:val="0058582B"/>
    <w:rsid w:val="005A06CA"/>
    <w:rsid w:val="005A1390"/>
    <w:rsid w:val="005A1CD1"/>
    <w:rsid w:val="005A2233"/>
    <w:rsid w:val="005A341B"/>
    <w:rsid w:val="005A4760"/>
    <w:rsid w:val="005A4DB6"/>
    <w:rsid w:val="005A552E"/>
    <w:rsid w:val="005A56B6"/>
    <w:rsid w:val="005B0021"/>
    <w:rsid w:val="005B013E"/>
    <w:rsid w:val="005B110F"/>
    <w:rsid w:val="005B112E"/>
    <w:rsid w:val="005B14BC"/>
    <w:rsid w:val="005B61C4"/>
    <w:rsid w:val="005B75E5"/>
    <w:rsid w:val="005B7EE2"/>
    <w:rsid w:val="005C1DED"/>
    <w:rsid w:val="005C5EE3"/>
    <w:rsid w:val="005C7965"/>
    <w:rsid w:val="005C7CAA"/>
    <w:rsid w:val="005D00FF"/>
    <w:rsid w:val="005D1B7D"/>
    <w:rsid w:val="005D2376"/>
    <w:rsid w:val="005D4C30"/>
    <w:rsid w:val="005D4DE1"/>
    <w:rsid w:val="005D4E66"/>
    <w:rsid w:val="005D6548"/>
    <w:rsid w:val="005D7432"/>
    <w:rsid w:val="005E0725"/>
    <w:rsid w:val="005E39EB"/>
    <w:rsid w:val="005E3F50"/>
    <w:rsid w:val="005E4F24"/>
    <w:rsid w:val="005E4F3D"/>
    <w:rsid w:val="005E6C5D"/>
    <w:rsid w:val="005E75D2"/>
    <w:rsid w:val="005F0D75"/>
    <w:rsid w:val="005F22E5"/>
    <w:rsid w:val="005F439E"/>
    <w:rsid w:val="005F45D0"/>
    <w:rsid w:val="00603530"/>
    <w:rsid w:val="00603B7F"/>
    <w:rsid w:val="00606128"/>
    <w:rsid w:val="00606801"/>
    <w:rsid w:val="00610665"/>
    <w:rsid w:val="00612E7F"/>
    <w:rsid w:val="00613B37"/>
    <w:rsid w:val="00617630"/>
    <w:rsid w:val="00617717"/>
    <w:rsid w:val="006177D7"/>
    <w:rsid w:val="006256A6"/>
    <w:rsid w:val="00625892"/>
    <w:rsid w:val="006258B0"/>
    <w:rsid w:val="006264D7"/>
    <w:rsid w:val="00631B77"/>
    <w:rsid w:val="00632723"/>
    <w:rsid w:val="00634103"/>
    <w:rsid w:val="006353EB"/>
    <w:rsid w:val="006365B1"/>
    <w:rsid w:val="00637EBD"/>
    <w:rsid w:val="0064076D"/>
    <w:rsid w:val="0064193D"/>
    <w:rsid w:val="00645E5F"/>
    <w:rsid w:val="00647094"/>
    <w:rsid w:val="006476E3"/>
    <w:rsid w:val="00651585"/>
    <w:rsid w:val="006525FE"/>
    <w:rsid w:val="006559B4"/>
    <w:rsid w:val="006567F2"/>
    <w:rsid w:val="00660518"/>
    <w:rsid w:val="006610C5"/>
    <w:rsid w:val="0066216B"/>
    <w:rsid w:val="006630AB"/>
    <w:rsid w:val="0066367C"/>
    <w:rsid w:val="00663B70"/>
    <w:rsid w:val="00663B86"/>
    <w:rsid w:val="0066611C"/>
    <w:rsid w:val="00666203"/>
    <w:rsid w:val="00666581"/>
    <w:rsid w:val="0066666D"/>
    <w:rsid w:val="0068006D"/>
    <w:rsid w:val="006810D2"/>
    <w:rsid w:val="00681B47"/>
    <w:rsid w:val="006821E4"/>
    <w:rsid w:val="00684304"/>
    <w:rsid w:val="006846B9"/>
    <w:rsid w:val="00685AAD"/>
    <w:rsid w:val="00687F19"/>
    <w:rsid w:val="00690189"/>
    <w:rsid w:val="00691107"/>
    <w:rsid w:val="00692B05"/>
    <w:rsid w:val="00695CD9"/>
    <w:rsid w:val="00697CA1"/>
    <w:rsid w:val="006A0244"/>
    <w:rsid w:val="006A071D"/>
    <w:rsid w:val="006A2529"/>
    <w:rsid w:val="006A2802"/>
    <w:rsid w:val="006A63C5"/>
    <w:rsid w:val="006B0B41"/>
    <w:rsid w:val="006B2A67"/>
    <w:rsid w:val="006B3EED"/>
    <w:rsid w:val="006C773C"/>
    <w:rsid w:val="006C79EA"/>
    <w:rsid w:val="006D1EB3"/>
    <w:rsid w:val="006D3B5F"/>
    <w:rsid w:val="006D3C37"/>
    <w:rsid w:val="006D50EC"/>
    <w:rsid w:val="006D5D69"/>
    <w:rsid w:val="006D6366"/>
    <w:rsid w:val="006E1627"/>
    <w:rsid w:val="006E2947"/>
    <w:rsid w:val="006E2FCA"/>
    <w:rsid w:val="006E39E8"/>
    <w:rsid w:val="006E48B4"/>
    <w:rsid w:val="006E6D57"/>
    <w:rsid w:val="006F142E"/>
    <w:rsid w:val="006F152E"/>
    <w:rsid w:val="006F213F"/>
    <w:rsid w:val="006F239D"/>
    <w:rsid w:val="0070122F"/>
    <w:rsid w:val="007039E2"/>
    <w:rsid w:val="00706B51"/>
    <w:rsid w:val="00712A20"/>
    <w:rsid w:val="00713CD6"/>
    <w:rsid w:val="0071404E"/>
    <w:rsid w:val="00715E23"/>
    <w:rsid w:val="0072295E"/>
    <w:rsid w:val="00722A82"/>
    <w:rsid w:val="00725B4B"/>
    <w:rsid w:val="007269C5"/>
    <w:rsid w:val="007276F9"/>
    <w:rsid w:val="00733E4D"/>
    <w:rsid w:val="00734623"/>
    <w:rsid w:val="00735DA2"/>
    <w:rsid w:val="00737C7A"/>
    <w:rsid w:val="00740D51"/>
    <w:rsid w:val="007457AF"/>
    <w:rsid w:val="0074608B"/>
    <w:rsid w:val="0074629F"/>
    <w:rsid w:val="0074777C"/>
    <w:rsid w:val="007478A6"/>
    <w:rsid w:val="00765A68"/>
    <w:rsid w:val="00765D18"/>
    <w:rsid w:val="00766DD2"/>
    <w:rsid w:val="0078376B"/>
    <w:rsid w:val="007843F4"/>
    <w:rsid w:val="00784631"/>
    <w:rsid w:val="00784BE0"/>
    <w:rsid w:val="007869AA"/>
    <w:rsid w:val="007872F5"/>
    <w:rsid w:val="0078799D"/>
    <w:rsid w:val="00792D7D"/>
    <w:rsid w:val="00793E7C"/>
    <w:rsid w:val="00793F99"/>
    <w:rsid w:val="007940F3"/>
    <w:rsid w:val="007967DF"/>
    <w:rsid w:val="00796D5C"/>
    <w:rsid w:val="007973D8"/>
    <w:rsid w:val="007976D0"/>
    <w:rsid w:val="007A0F13"/>
    <w:rsid w:val="007A1751"/>
    <w:rsid w:val="007A70A2"/>
    <w:rsid w:val="007B4079"/>
    <w:rsid w:val="007B4340"/>
    <w:rsid w:val="007B5957"/>
    <w:rsid w:val="007B61B3"/>
    <w:rsid w:val="007B67AC"/>
    <w:rsid w:val="007B6A71"/>
    <w:rsid w:val="007B6BEA"/>
    <w:rsid w:val="007C1E08"/>
    <w:rsid w:val="007C2AF5"/>
    <w:rsid w:val="007C3101"/>
    <w:rsid w:val="007C4641"/>
    <w:rsid w:val="007C4779"/>
    <w:rsid w:val="007C66CD"/>
    <w:rsid w:val="007C7BE8"/>
    <w:rsid w:val="007D2AB0"/>
    <w:rsid w:val="007D598F"/>
    <w:rsid w:val="007D745D"/>
    <w:rsid w:val="007E05F9"/>
    <w:rsid w:val="007E32F2"/>
    <w:rsid w:val="007E47DE"/>
    <w:rsid w:val="007E552B"/>
    <w:rsid w:val="007E574B"/>
    <w:rsid w:val="007E58DF"/>
    <w:rsid w:val="007E5F8E"/>
    <w:rsid w:val="007F18B2"/>
    <w:rsid w:val="007F2C2D"/>
    <w:rsid w:val="007F2DC5"/>
    <w:rsid w:val="007F7510"/>
    <w:rsid w:val="00800209"/>
    <w:rsid w:val="00804C97"/>
    <w:rsid w:val="00812EDD"/>
    <w:rsid w:val="00813DDD"/>
    <w:rsid w:val="00826131"/>
    <w:rsid w:val="008261E0"/>
    <w:rsid w:val="00830553"/>
    <w:rsid w:val="00832E87"/>
    <w:rsid w:val="008348D7"/>
    <w:rsid w:val="0083580E"/>
    <w:rsid w:val="00835C0C"/>
    <w:rsid w:val="00835E78"/>
    <w:rsid w:val="0084201A"/>
    <w:rsid w:val="00843D02"/>
    <w:rsid w:val="008442DD"/>
    <w:rsid w:val="008446AA"/>
    <w:rsid w:val="008479B1"/>
    <w:rsid w:val="0085190F"/>
    <w:rsid w:val="00852BBE"/>
    <w:rsid w:val="008545DF"/>
    <w:rsid w:val="00862B9B"/>
    <w:rsid w:val="00863D1F"/>
    <w:rsid w:val="008646FD"/>
    <w:rsid w:val="00866993"/>
    <w:rsid w:val="00867B57"/>
    <w:rsid w:val="0087143C"/>
    <w:rsid w:val="0087344F"/>
    <w:rsid w:val="00873CEE"/>
    <w:rsid w:val="00876776"/>
    <w:rsid w:val="00881D99"/>
    <w:rsid w:val="00881E1D"/>
    <w:rsid w:val="00882502"/>
    <w:rsid w:val="008906E4"/>
    <w:rsid w:val="00890FF2"/>
    <w:rsid w:val="00892CA4"/>
    <w:rsid w:val="00894B37"/>
    <w:rsid w:val="00895139"/>
    <w:rsid w:val="008A4B37"/>
    <w:rsid w:val="008A6DEC"/>
    <w:rsid w:val="008A7CEE"/>
    <w:rsid w:val="008B0228"/>
    <w:rsid w:val="008B2EF5"/>
    <w:rsid w:val="008B35FF"/>
    <w:rsid w:val="008B4305"/>
    <w:rsid w:val="008B498E"/>
    <w:rsid w:val="008B5C5F"/>
    <w:rsid w:val="008C0761"/>
    <w:rsid w:val="008C2415"/>
    <w:rsid w:val="008C3047"/>
    <w:rsid w:val="008C33CC"/>
    <w:rsid w:val="008C55BE"/>
    <w:rsid w:val="008D0353"/>
    <w:rsid w:val="008D03E2"/>
    <w:rsid w:val="008D340D"/>
    <w:rsid w:val="008D4CD7"/>
    <w:rsid w:val="008D5438"/>
    <w:rsid w:val="008D5BAF"/>
    <w:rsid w:val="008D6543"/>
    <w:rsid w:val="008E191D"/>
    <w:rsid w:val="008E32F6"/>
    <w:rsid w:val="008E34D4"/>
    <w:rsid w:val="008E538A"/>
    <w:rsid w:val="008F2B69"/>
    <w:rsid w:val="008F4BF3"/>
    <w:rsid w:val="008F52F1"/>
    <w:rsid w:val="0090016B"/>
    <w:rsid w:val="00906730"/>
    <w:rsid w:val="00911B0A"/>
    <w:rsid w:val="0091364C"/>
    <w:rsid w:val="00914B27"/>
    <w:rsid w:val="00915229"/>
    <w:rsid w:val="00915F28"/>
    <w:rsid w:val="00917C24"/>
    <w:rsid w:val="00920E14"/>
    <w:rsid w:val="00920FC7"/>
    <w:rsid w:val="00922227"/>
    <w:rsid w:val="0092325F"/>
    <w:rsid w:val="00924A5B"/>
    <w:rsid w:val="00930FB9"/>
    <w:rsid w:val="00933209"/>
    <w:rsid w:val="009340B7"/>
    <w:rsid w:val="00934E4F"/>
    <w:rsid w:val="0093566B"/>
    <w:rsid w:val="00936477"/>
    <w:rsid w:val="00940856"/>
    <w:rsid w:val="00945A59"/>
    <w:rsid w:val="0094679A"/>
    <w:rsid w:val="0095039A"/>
    <w:rsid w:val="0095060C"/>
    <w:rsid w:val="00952D17"/>
    <w:rsid w:val="0095355D"/>
    <w:rsid w:val="00955479"/>
    <w:rsid w:val="00961A17"/>
    <w:rsid w:val="009640A2"/>
    <w:rsid w:val="0096411F"/>
    <w:rsid w:val="00966809"/>
    <w:rsid w:val="0096709A"/>
    <w:rsid w:val="00970825"/>
    <w:rsid w:val="0097170A"/>
    <w:rsid w:val="0097212B"/>
    <w:rsid w:val="0097262B"/>
    <w:rsid w:val="0097287C"/>
    <w:rsid w:val="00972B8A"/>
    <w:rsid w:val="00972F3C"/>
    <w:rsid w:val="00980E7D"/>
    <w:rsid w:val="00985D06"/>
    <w:rsid w:val="009860F7"/>
    <w:rsid w:val="009911DF"/>
    <w:rsid w:val="00991D2D"/>
    <w:rsid w:val="009922C5"/>
    <w:rsid w:val="009945B2"/>
    <w:rsid w:val="00995832"/>
    <w:rsid w:val="009A38F0"/>
    <w:rsid w:val="009A3A66"/>
    <w:rsid w:val="009A64E4"/>
    <w:rsid w:val="009B0254"/>
    <w:rsid w:val="009B10EE"/>
    <w:rsid w:val="009B3761"/>
    <w:rsid w:val="009B4A6B"/>
    <w:rsid w:val="009B6007"/>
    <w:rsid w:val="009B68C7"/>
    <w:rsid w:val="009C0D66"/>
    <w:rsid w:val="009C1301"/>
    <w:rsid w:val="009C1B39"/>
    <w:rsid w:val="009C3A6D"/>
    <w:rsid w:val="009C44FD"/>
    <w:rsid w:val="009C45CA"/>
    <w:rsid w:val="009C4C96"/>
    <w:rsid w:val="009C7C6D"/>
    <w:rsid w:val="009D27EE"/>
    <w:rsid w:val="009D71BE"/>
    <w:rsid w:val="009E4DB3"/>
    <w:rsid w:val="009F034C"/>
    <w:rsid w:val="009F2991"/>
    <w:rsid w:val="009F2B74"/>
    <w:rsid w:val="009F2F2A"/>
    <w:rsid w:val="009F3B77"/>
    <w:rsid w:val="009F6F7F"/>
    <w:rsid w:val="00A00C66"/>
    <w:rsid w:val="00A02E34"/>
    <w:rsid w:val="00A04B38"/>
    <w:rsid w:val="00A054BE"/>
    <w:rsid w:val="00A076AD"/>
    <w:rsid w:val="00A1202D"/>
    <w:rsid w:val="00A14A1D"/>
    <w:rsid w:val="00A205EF"/>
    <w:rsid w:val="00A23475"/>
    <w:rsid w:val="00A23E58"/>
    <w:rsid w:val="00A252B9"/>
    <w:rsid w:val="00A26271"/>
    <w:rsid w:val="00A333A7"/>
    <w:rsid w:val="00A33D7B"/>
    <w:rsid w:val="00A3635E"/>
    <w:rsid w:val="00A402A7"/>
    <w:rsid w:val="00A40433"/>
    <w:rsid w:val="00A40DDE"/>
    <w:rsid w:val="00A41B74"/>
    <w:rsid w:val="00A41C6A"/>
    <w:rsid w:val="00A41E97"/>
    <w:rsid w:val="00A42CFA"/>
    <w:rsid w:val="00A432CA"/>
    <w:rsid w:val="00A44844"/>
    <w:rsid w:val="00A469FA"/>
    <w:rsid w:val="00A47505"/>
    <w:rsid w:val="00A541E1"/>
    <w:rsid w:val="00A559ED"/>
    <w:rsid w:val="00A602B9"/>
    <w:rsid w:val="00A61640"/>
    <w:rsid w:val="00A63BD7"/>
    <w:rsid w:val="00A6559E"/>
    <w:rsid w:val="00A666D3"/>
    <w:rsid w:val="00A67EF7"/>
    <w:rsid w:val="00A67FA2"/>
    <w:rsid w:val="00A704C2"/>
    <w:rsid w:val="00A71682"/>
    <w:rsid w:val="00A71E56"/>
    <w:rsid w:val="00A746FF"/>
    <w:rsid w:val="00A755F6"/>
    <w:rsid w:val="00A81D8F"/>
    <w:rsid w:val="00A824A7"/>
    <w:rsid w:val="00A85891"/>
    <w:rsid w:val="00A866D6"/>
    <w:rsid w:val="00A873E1"/>
    <w:rsid w:val="00A92065"/>
    <w:rsid w:val="00A93B6C"/>
    <w:rsid w:val="00AA0D1F"/>
    <w:rsid w:val="00AA7454"/>
    <w:rsid w:val="00AB3620"/>
    <w:rsid w:val="00AB55E8"/>
    <w:rsid w:val="00AB5AE1"/>
    <w:rsid w:val="00AB750A"/>
    <w:rsid w:val="00AB7B8A"/>
    <w:rsid w:val="00AC0A2D"/>
    <w:rsid w:val="00AC0F64"/>
    <w:rsid w:val="00AC28A1"/>
    <w:rsid w:val="00AD0AEE"/>
    <w:rsid w:val="00AD14C6"/>
    <w:rsid w:val="00AD214D"/>
    <w:rsid w:val="00AD3D45"/>
    <w:rsid w:val="00AD623E"/>
    <w:rsid w:val="00AE1B0F"/>
    <w:rsid w:val="00AE2943"/>
    <w:rsid w:val="00AE4C6E"/>
    <w:rsid w:val="00AE5943"/>
    <w:rsid w:val="00AE5E6A"/>
    <w:rsid w:val="00AE63A4"/>
    <w:rsid w:val="00AE63CB"/>
    <w:rsid w:val="00AE7A06"/>
    <w:rsid w:val="00AF5CA8"/>
    <w:rsid w:val="00AF6BC3"/>
    <w:rsid w:val="00AF769C"/>
    <w:rsid w:val="00B00E42"/>
    <w:rsid w:val="00B022EE"/>
    <w:rsid w:val="00B03EDC"/>
    <w:rsid w:val="00B04FFC"/>
    <w:rsid w:val="00B06337"/>
    <w:rsid w:val="00B10B64"/>
    <w:rsid w:val="00B10BED"/>
    <w:rsid w:val="00B10D0B"/>
    <w:rsid w:val="00B207E5"/>
    <w:rsid w:val="00B212A3"/>
    <w:rsid w:val="00B21DFE"/>
    <w:rsid w:val="00B238FF"/>
    <w:rsid w:val="00B23924"/>
    <w:rsid w:val="00B258CD"/>
    <w:rsid w:val="00B259DD"/>
    <w:rsid w:val="00B27D32"/>
    <w:rsid w:val="00B27F95"/>
    <w:rsid w:val="00B3206E"/>
    <w:rsid w:val="00B33BC0"/>
    <w:rsid w:val="00B33D18"/>
    <w:rsid w:val="00B34A71"/>
    <w:rsid w:val="00B35449"/>
    <w:rsid w:val="00B371C6"/>
    <w:rsid w:val="00B37D5B"/>
    <w:rsid w:val="00B41EDE"/>
    <w:rsid w:val="00B43CFA"/>
    <w:rsid w:val="00B5097D"/>
    <w:rsid w:val="00B51307"/>
    <w:rsid w:val="00B52E8A"/>
    <w:rsid w:val="00B53E93"/>
    <w:rsid w:val="00B5590D"/>
    <w:rsid w:val="00B567A8"/>
    <w:rsid w:val="00B56A47"/>
    <w:rsid w:val="00B57093"/>
    <w:rsid w:val="00B60025"/>
    <w:rsid w:val="00B609CE"/>
    <w:rsid w:val="00B60A69"/>
    <w:rsid w:val="00B6452D"/>
    <w:rsid w:val="00B66C1B"/>
    <w:rsid w:val="00B6750A"/>
    <w:rsid w:val="00B710FC"/>
    <w:rsid w:val="00B7211D"/>
    <w:rsid w:val="00B76124"/>
    <w:rsid w:val="00B804C4"/>
    <w:rsid w:val="00B80517"/>
    <w:rsid w:val="00B80E8D"/>
    <w:rsid w:val="00B82885"/>
    <w:rsid w:val="00B836EF"/>
    <w:rsid w:val="00B8535B"/>
    <w:rsid w:val="00B86577"/>
    <w:rsid w:val="00B873BB"/>
    <w:rsid w:val="00B8747B"/>
    <w:rsid w:val="00B87761"/>
    <w:rsid w:val="00B87B76"/>
    <w:rsid w:val="00B91B34"/>
    <w:rsid w:val="00B93AFD"/>
    <w:rsid w:val="00BA0368"/>
    <w:rsid w:val="00BA1D2F"/>
    <w:rsid w:val="00BA2804"/>
    <w:rsid w:val="00BA2BBD"/>
    <w:rsid w:val="00BA3978"/>
    <w:rsid w:val="00BA521B"/>
    <w:rsid w:val="00BA52B9"/>
    <w:rsid w:val="00BA6083"/>
    <w:rsid w:val="00BB1442"/>
    <w:rsid w:val="00BB3DBE"/>
    <w:rsid w:val="00BB4853"/>
    <w:rsid w:val="00BB516C"/>
    <w:rsid w:val="00BB6E17"/>
    <w:rsid w:val="00BB7C79"/>
    <w:rsid w:val="00BC1C89"/>
    <w:rsid w:val="00BC3CD9"/>
    <w:rsid w:val="00BC4184"/>
    <w:rsid w:val="00BC589A"/>
    <w:rsid w:val="00BC5E78"/>
    <w:rsid w:val="00BC7785"/>
    <w:rsid w:val="00BE09F3"/>
    <w:rsid w:val="00BE0AD5"/>
    <w:rsid w:val="00BE4879"/>
    <w:rsid w:val="00BE5E00"/>
    <w:rsid w:val="00C02BCC"/>
    <w:rsid w:val="00C03578"/>
    <w:rsid w:val="00C048A6"/>
    <w:rsid w:val="00C06056"/>
    <w:rsid w:val="00C06C09"/>
    <w:rsid w:val="00C075B8"/>
    <w:rsid w:val="00C1376D"/>
    <w:rsid w:val="00C2022F"/>
    <w:rsid w:val="00C24064"/>
    <w:rsid w:val="00C25567"/>
    <w:rsid w:val="00C27F96"/>
    <w:rsid w:val="00C31304"/>
    <w:rsid w:val="00C357DC"/>
    <w:rsid w:val="00C422ED"/>
    <w:rsid w:val="00C46932"/>
    <w:rsid w:val="00C50B88"/>
    <w:rsid w:val="00C515B6"/>
    <w:rsid w:val="00C51CBA"/>
    <w:rsid w:val="00C53925"/>
    <w:rsid w:val="00C54793"/>
    <w:rsid w:val="00C56332"/>
    <w:rsid w:val="00C618CC"/>
    <w:rsid w:val="00C6221C"/>
    <w:rsid w:val="00C62C0B"/>
    <w:rsid w:val="00C6361B"/>
    <w:rsid w:val="00C66D80"/>
    <w:rsid w:val="00C71641"/>
    <w:rsid w:val="00C765E2"/>
    <w:rsid w:val="00C769F6"/>
    <w:rsid w:val="00C81604"/>
    <w:rsid w:val="00C81D17"/>
    <w:rsid w:val="00C8579D"/>
    <w:rsid w:val="00C871BB"/>
    <w:rsid w:val="00C8775E"/>
    <w:rsid w:val="00C914B5"/>
    <w:rsid w:val="00C934AB"/>
    <w:rsid w:val="00CA098C"/>
    <w:rsid w:val="00CA2C5B"/>
    <w:rsid w:val="00CA4951"/>
    <w:rsid w:val="00CA780B"/>
    <w:rsid w:val="00CB13B4"/>
    <w:rsid w:val="00CB23C2"/>
    <w:rsid w:val="00CB3C21"/>
    <w:rsid w:val="00CB4503"/>
    <w:rsid w:val="00CB536F"/>
    <w:rsid w:val="00CB5C5E"/>
    <w:rsid w:val="00CB672D"/>
    <w:rsid w:val="00CB7BF2"/>
    <w:rsid w:val="00CC0D3E"/>
    <w:rsid w:val="00CC317B"/>
    <w:rsid w:val="00CC53B5"/>
    <w:rsid w:val="00CD06EF"/>
    <w:rsid w:val="00CD3924"/>
    <w:rsid w:val="00CD4F68"/>
    <w:rsid w:val="00CD610D"/>
    <w:rsid w:val="00CE1523"/>
    <w:rsid w:val="00CE318F"/>
    <w:rsid w:val="00CE430B"/>
    <w:rsid w:val="00CF11D2"/>
    <w:rsid w:val="00CF2973"/>
    <w:rsid w:val="00CF3DB6"/>
    <w:rsid w:val="00CF3FB3"/>
    <w:rsid w:val="00CF5A29"/>
    <w:rsid w:val="00CF7A89"/>
    <w:rsid w:val="00D02FEB"/>
    <w:rsid w:val="00D066CF"/>
    <w:rsid w:val="00D0700B"/>
    <w:rsid w:val="00D12EF8"/>
    <w:rsid w:val="00D13858"/>
    <w:rsid w:val="00D140E5"/>
    <w:rsid w:val="00D16B1C"/>
    <w:rsid w:val="00D170A0"/>
    <w:rsid w:val="00D17E3C"/>
    <w:rsid w:val="00D234C3"/>
    <w:rsid w:val="00D24AD8"/>
    <w:rsid w:val="00D25BAC"/>
    <w:rsid w:val="00D30E56"/>
    <w:rsid w:val="00D316C6"/>
    <w:rsid w:val="00D35730"/>
    <w:rsid w:val="00D37383"/>
    <w:rsid w:val="00D40D50"/>
    <w:rsid w:val="00D40EF5"/>
    <w:rsid w:val="00D41E84"/>
    <w:rsid w:val="00D43321"/>
    <w:rsid w:val="00D47D73"/>
    <w:rsid w:val="00D53635"/>
    <w:rsid w:val="00D575AA"/>
    <w:rsid w:val="00D61D35"/>
    <w:rsid w:val="00D63D1A"/>
    <w:rsid w:val="00D6747D"/>
    <w:rsid w:val="00D724EC"/>
    <w:rsid w:val="00D73BA3"/>
    <w:rsid w:val="00D76052"/>
    <w:rsid w:val="00D762B7"/>
    <w:rsid w:val="00D76ECA"/>
    <w:rsid w:val="00D83D8B"/>
    <w:rsid w:val="00D846BD"/>
    <w:rsid w:val="00D8529C"/>
    <w:rsid w:val="00D85676"/>
    <w:rsid w:val="00D9068A"/>
    <w:rsid w:val="00D91180"/>
    <w:rsid w:val="00D9119F"/>
    <w:rsid w:val="00D93409"/>
    <w:rsid w:val="00D96E58"/>
    <w:rsid w:val="00DA041B"/>
    <w:rsid w:val="00DA1678"/>
    <w:rsid w:val="00DA21EC"/>
    <w:rsid w:val="00DA25AF"/>
    <w:rsid w:val="00DA7A3F"/>
    <w:rsid w:val="00DB0007"/>
    <w:rsid w:val="00DB0A5F"/>
    <w:rsid w:val="00DB2C59"/>
    <w:rsid w:val="00DB40BA"/>
    <w:rsid w:val="00DB686D"/>
    <w:rsid w:val="00DB6E05"/>
    <w:rsid w:val="00DB75E3"/>
    <w:rsid w:val="00DB77FC"/>
    <w:rsid w:val="00DB7BB1"/>
    <w:rsid w:val="00DB7EA2"/>
    <w:rsid w:val="00DC0EF1"/>
    <w:rsid w:val="00DD057A"/>
    <w:rsid w:val="00DD1512"/>
    <w:rsid w:val="00DD40C4"/>
    <w:rsid w:val="00DD4D4C"/>
    <w:rsid w:val="00DD5ACC"/>
    <w:rsid w:val="00DD6CD8"/>
    <w:rsid w:val="00DD7AC4"/>
    <w:rsid w:val="00DE5652"/>
    <w:rsid w:val="00DE729B"/>
    <w:rsid w:val="00DE7683"/>
    <w:rsid w:val="00DF21EC"/>
    <w:rsid w:val="00E0094C"/>
    <w:rsid w:val="00E023E1"/>
    <w:rsid w:val="00E0698A"/>
    <w:rsid w:val="00E072E9"/>
    <w:rsid w:val="00E07846"/>
    <w:rsid w:val="00E12098"/>
    <w:rsid w:val="00E12731"/>
    <w:rsid w:val="00E12FF9"/>
    <w:rsid w:val="00E13451"/>
    <w:rsid w:val="00E14A13"/>
    <w:rsid w:val="00E2332F"/>
    <w:rsid w:val="00E238E2"/>
    <w:rsid w:val="00E23E5A"/>
    <w:rsid w:val="00E24E64"/>
    <w:rsid w:val="00E26362"/>
    <w:rsid w:val="00E26487"/>
    <w:rsid w:val="00E31E14"/>
    <w:rsid w:val="00E32C33"/>
    <w:rsid w:val="00E33E07"/>
    <w:rsid w:val="00E34206"/>
    <w:rsid w:val="00E4392A"/>
    <w:rsid w:val="00E4415E"/>
    <w:rsid w:val="00E44497"/>
    <w:rsid w:val="00E449FE"/>
    <w:rsid w:val="00E50F3C"/>
    <w:rsid w:val="00E528C8"/>
    <w:rsid w:val="00E535C2"/>
    <w:rsid w:val="00E55CB8"/>
    <w:rsid w:val="00E57431"/>
    <w:rsid w:val="00E6113E"/>
    <w:rsid w:val="00E635B4"/>
    <w:rsid w:val="00E639AA"/>
    <w:rsid w:val="00E72C00"/>
    <w:rsid w:val="00E72CC7"/>
    <w:rsid w:val="00E731B0"/>
    <w:rsid w:val="00E743C7"/>
    <w:rsid w:val="00E750B6"/>
    <w:rsid w:val="00E76492"/>
    <w:rsid w:val="00E76D68"/>
    <w:rsid w:val="00E77CF5"/>
    <w:rsid w:val="00E80B16"/>
    <w:rsid w:val="00E80B47"/>
    <w:rsid w:val="00E8341F"/>
    <w:rsid w:val="00E854C4"/>
    <w:rsid w:val="00E86F7F"/>
    <w:rsid w:val="00E87221"/>
    <w:rsid w:val="00E87B42"/>
    <w:rsid w:val="00E90D27"/>
    <w:rsid w:val="00E929EB"/>
    <w:rsid w:val="00E933CD"/>
    <w:rsid w:val="00E945E5"/>
    <w:rsid w:val="00E95D6D"/>
    <w:rsid w:val="00E96A18"/>
    <w:rsid w:val="00EA0C67"/>
    <w:rsid w:val="00EA3A78"/>
    <w:rsid w:val="00EB0155"/>
    <w:rsid w:val="00EB0ADD"/>
    <w:rsid w:val="00EB12D4"/>
    <w:rsid w:val="00EB2DDB"/>
    <w:rsid w:val="00EB5DDB"/>
    <w:rsid w:val="00EB73C5"/>
    <w:rsid w:val="00EB73DF"/>
    <w:rsid w:val="00EC19AA"/>
    <w:rsid w:val="00EC258C"/>
    <w:rsid w:val="00EC5459"/>
    <w:rsid w:val="00EC5C5F"/>
    <w:rsid w:val="00ED6E76"/>
    <w:rsid w:val="00EE2D10"/>
    <w:rsid w:val="00EE386C"/>
    <w:rsid w:val="00EE4C0B"/>
    <w:rsid w:val="00EE76B3"/>
    <w:rsid w:val="00EF174B"/>
    <w:rsid w:val="00EF472A"/>
    <w:rsid w:val="00F00FA5"/>
    <w:rsid w:val="00F02617"/>
    <w:rsid w:val="00F02F91"/>
    <w:rsid w:val="00F0311D"/>
    <w:rsid w:val="00F0354F"/>
    <w:rsid w:val="00F0708A"/>
    <w:rsid w:val="00F10EB5"/>
    <w:rsid w:val="00F116DD"/>
    <w:rsid w:val="00F11A1B"/>
    <w:rsid w:val="00F11D34"/>
    <w:rsid w:val="00F156C9"/>
    <w:rsid w:val="00F22505"/>
    <w:rsid w:val="00F231B7"/>
    <w:rsid w:val="00F24FA8"/>
    <w:rsid w:val="00F257FE"/>
    <w:rsid w:val="00F261B3"/>
    <w:rsid w:val="00F272BA"/>
    <w:rsid w:val="00F30D93"/>
    <w:rsid w:val="00F3344D"/>
    <w:rsid w:val="00F33C52"/>
    <w:rsid w:val="00F3419D"/>
    <w:rsid w:val="00F350D8"/>
    <w:rsid w:val="00F36926"/>
    <w:rsid w:val="00F37B5D"/>
    <w:rsid w:val="00F44559"/>
    <w:rsid w:val="00F4484A"/>
    <w:rsid w:val="00F46914"/>
    <w:rsid w:val="00F52B09"/>
    <w:rsid w:val="00F543E6"/>
    <w:rsid w:val="00F56C8E"/>
    <w:rsid w:val="00F57123"/>
    <w:rsid w:val="00F6014E"/>
    <w:rsid w:val="00F602FD"/>
    <w:rsid w:val="00F60FBB"/>
    <w:rsid w:val="00F63100"/>
    <w:rsid w:val="00F73A2C"/>
    <w:rsid w:val="00F76785"/>
    <w:rsid w:val="00F77DC4"/>
    <w:rsid w:val="00F80AEC"/>
    <w:rsid w:val="00F816E9"/>
    <w:rsid w:val="00F82657"/>
    <w:rsid w:val="00F82827"/>
    <w:rsid w:val="00F919B5"/>
    <w:rsid w:val="00F9382F"/>
    <w:rsid w:val="00F94C3D"/>
    <w:rsid w:val="00F94F4C"/>
    <w:rsid w:val="00F954C5"/>
    <w:rsid w:val="00F95BD0"/>
    <w:rsid w:val="00FA1C1C"/>
    <w:rsid w:val="00FA2598"/>
    <w:rsid w:val="00FA25FC"/>
    <w:rsid w:val="00FA6890"/>
    <w:rsid w:val="00FA6DAC"/>
    <w:rsid w:val="00FB26A7"/>
    <w:rsid w:val="00FB2EA1"/>
    <w:rsid w:val="00FB74E0"/>
    <w:rsid w:val="00FC1988"/>
    <w:rsid w:val="00FC1EA9"/>
    <w:rsid w:val="00FC24CC"/>
    <w:rsid w:val="00FC2D68"/>
    <w:rsid w:val="00FC357F"/>
    <w:rsid w:val="00FC78A6"/>
    <w:rsid w:val="00FD188E"/>
    <w:rsid w:val="00FD33BD"/>
    <w:rsid w:val="00FD35BC"/>
    <w:rsid w:val="00FD3B23"/>
    <w:rsid w:val="00FD439D"/>
    <w:rsid w:val="00FD5289"/>
    <w:rsid w:val="00FE012E"/>
    <w:rsid w:val="00FE20FE"/>
    <w:rsid w:val="00FE2229"/>
    <w:rsid w:val="00FE2A43"/>
    <w:rsid w:val="00FF1E0E"/>
    <w:rsid w:val="00FF3C71"/>
    <w:rsid w:val="00FF4422"/>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tabs>
        <w:tab w:val="num" w:pos="7923"/>
      </w:tabs>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UnresolvedMention1">
    <w:name w:val="Unresolved Mention1"/>
    <w:basedOn w:val="DefaultParagraphFont"/>
    <w:uiPriority w:val="99"/>
    <w:semiHidden/>
    <w:unhideWhenUsed/>
    <w:rsid w:val="008348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visualstudio/releases/2019/redistribu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soft.com/expor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cause" TargetMode="External"/><Relationship Id="rId5" Type="http://schemas.openxmlformats.org/officeDocument/2006/relationships/webSettings" Target="webSettings.xml"/><Relationship Id="rId10" Type="http://schemas.openxmlformats.org/officeDocument/2006/relationships/hyperlink" Target="https://docs.microsoft.com/en-us/legal/gdpr" TargetMode="External"/><Relationship Id="rId4" Type="http://schemas.openxmlformats.org/officeDocument/2006/relationships/settings" Target="settings.xml"/><Relationship Id="rId9" Type="http://schemas.openxmlformats.org/officeDocument/2006/relationships/hyperlink" Target="https://go.microsoft.com/fwlink/?LinkID=8247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F40B-0AA0-4625-AE59-6C991C01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2019-02-27T19:27:00Z</dcterms:created>
  <dcterms:modified xsi:type="dcterms:W3CDTF">2019-02-27T19:27:00Z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2019-02-27T19:27:42.0656119Z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b8afd7b6-13e6-4350-aa0f-3a444657c433</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